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ascii="Arial" w:hAnsi="Arial"/>
          <w:b/>
          <w:bCs/>
          <w:color w:val="000000"/>
          <w:sz w:val="22"/>
          <w:szCs w:val="22"/>
        </w:rPr>
        <w:t>PREGÃO ELETRÔNICO</w:t>
      </w:r>
      <w:r>
        <w:rPr>
          <w:rFonts w:cs="Arial" w:ascii="Arial" w:hAnsi="Arial"/>
          <w:b/>
          <w:bCs/>
          <w:color w:val="000000"/>
          <w:sz w:val="20"/>
          <w:szCs w:val="20"/>
        </w:rPr>
        <w:t xml:space="preserve"> </w:t>
      </w:r>
    </w:p>
    <w:p>
      <w:pPr>
        <w:pStyle w:val="Normal"/>
        <w:jc w:val="center"/>
        <w:rPr>
          <w:b/>
          <w:b/>
          <w:bCs/>
          <w:color w:val="000000"/>
          <w:sz w:val="22"/>
          <w:szCs w:val="22"/>
        </w:rPr>
      </w:pPr>
      <w:r>
        <w:rPr>
          <w:rFonts w:cs="Arial" w:ascii="Arial" w:hAnsi="Arial"/>
          <w:b/>
          <w:bCs/>
          <w:i/>
          <w:color w:val="000000"/>
          <w:sz w:val="22"/>
          <w:szCs w:val="22"/>
        </w:rPr>
        <w:t>INSTITUTO FEDERAL DE EDUCAÇÃO, CIÊNCIA E TECNOLOGIA DE SERGIPE</w:t>
      </w:r>
    </w:p>
    <w:p>
      <w:pPr>
        <w:pStyle w:val="Normal"/>
        <w:jc w:val="center"/>
        <w:rPr>
          <w:b/>
          <w:b/>
          <w:bCs/>
          <w:color w:val="000000"/>
          <w:sz w:val="22"/>
          <w:szCs w:val="22"/>
        </w:rPr>
      </w:pPr>
      <w:r>
        <w:rPr>
          <w:rFonts w:cs="Arial" w:ascii="Arial" w:hAnsi="Arial"/>
          <w:b/>
          <w:bCs/>
          <w:i/>
          <w:color w:val="000000"/>
          <w:sz w:val="22"/>
          <w:szCs w:val="22"/>
        </w:rPr>
        <w:t xml:space="preserve">CAMPUS ARACAJU </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pPr>
      <w:r>
        <w:rPr>
          <w:rFonts w:cs="Arial" w:ascii="Arial" w:hAnsi="Arial"/>
          <w:b/>
          <w:bCs/>
          <w:color w:val="000000"/>
          <w:sz w:val="20"/>
          <w:szCs w:val="20"/>
        </w:rPr>
        <w:t>PREGÃO ELETRÔNICO Nº 15/2017.</w:t>
      </w:r>
    </w:p>
    <w:p>
      <w:pPr>
        <w:pStyle w:val="Normal"/>
        <w:jc w:val="center"/>
        <w:rPr/>
      </w:pPr>
      <w:r>
        <w:rPr>
          <w:rFonts w:cs="Arial" w:ascii="Arial" w:hAnsi="Arial"/>
          <w:bCs/>
          <w:color w:val="000000"/>
          <w:sz w:val="20"/>
          <w:szCs w:val="20"/>
        </w:rPr>
        <w:t>(Processo Administrativo n.° 23290.000228/2017-33)</w:t>
      </w:r>
    </w:p>
    <w:p>
      <w:pPr>
        <w:pStyle w:val="Normal"/>
        <w:snapToGrid w:val="false"/>
        <w:spacing w:lineRule="auto" w:line="276" w:before="0" w:after="120"/>
        <w:ind w:right="-30" w:hanging="0"/>
        <w:jc w:val="both"/>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right="-30" w:firstLine="540"/>
        <w:jc w:val="both"/>
        <w:rPr/>
      </w:pPr>
      <w:r>
        <w:rPr>
          <w:rFonts w:cs="Arial" w:ascii="Arial" w:hAnsi="Arial"/>
          <w:color w:val="000000"/>
          <w:sz w:val="20"/>
          <w:szCs w:val="20"/>
        </w:rPr>
        <w:t xml:space="preserve">Torna-se público, para conhecimento dos interessados, que o </w:t>
      </w:r>
      <w:r>
        <w:rPr>
          <w:rFonts w:cs="Arial" w:ascii="Arial" w:hAnsi="Arial"/>
          <w:b/>
          <w:bCs/>
          <w:i/>
          <w:color w:val="000000"/>
          <w:sz w:val="22"/>
          <w:szCs w:val="22"/>
        </w:rPr>
        <w:t>INSTITUTO FEDERAL DE EDUCAÇÃO, CIÊNCIA E TECNOLOGIA DE SERGIPE-CAMPUS ARACAJU</w:t>
      </w:r>
      <w:r>
        <w:rPr>
          <w:rFonts w:cs="Arial" w:ascii="Arial" w:hAnsi="Arial"/>
          <w:color w:val="000000"/>
          <w:sz w:val="20"/>
          <w:szCs w:val="20"/>
        </w:rPr>
        <w:t xml:space="preserve">, por meio da Coordenadoria de Licitações, sediado(a) a Avenida Gentil Tavares da Mota, 1166 – Bairro Getúlio Vargas-Aracaju/SE, CEP: 49.055-260, realizará licitação,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w:t>
      </w:r>
      <w:r>
        <w:rPr>
          <w:rFonts w:cs="Arial" w:ascii="Arial" w:hAnsi="Arial"/>
          <w:b/>
          <w:bCs/>
          <w:color w:val="000000"/>
          <w:sz w:val="20"/>
          <w:szCs w:val="20"/>
        </w:rPr>
        <w:t>do</w:t>
      </w:r>
      <w:r>
        <w:rPr>
          <w:rFonts w:cs="Arial" w:ascii="Arial" w:hAnsi="Arial"/>
          <w:b/>
          <w:color w:val="000000"/>
          <w:sz w:val="20"/>
          <w:szCs w:val="20"/>
        </w:rPr>
        <w:t xml:space="preserve"> </w:t>
      </w:r>
      <w:r>
        <w:rPr>
          <w:rFonts w:cs="Arial" w:ascii="Arial" w:hAnsi="Arial"/>
          <w:b/>
          <w:bCs/>
          <w:iCs/>
          <w:color w:val="000000"/>
          <w:sz w:val="20"/>
          <w:szCs w:val="20"/>
        </w:rPr>
        <w:t>tipo menor preço por item</w:t>
      </w:r>
      <w:r>
        <w:rPr>
          <w:rFonts w:cs="Arial" w:ascii="Arial" w:hAnsi="Arial"/>
          <w:b/>
          <w:bCs/>
          <w:color w:val="000000"/>
          <w:sz w:val="20"/>
          <w:szCs w:val="20"/>
        </w:rPr>
        <w:t>,</w:t>
      </w:r>
      <w:r>
        <w:rPr>
          <w:rFonts w:cs="Arial" w:ascii="Arial" w:hAnsi="Arial"/>
          <w:color w:val="000000"/>
          <w:sz w:val="20"/>
          <w:szCs w:val="20"/>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w:t>
      </w:r>
      <w:r>
        <w:rPr>
          <w:rFonts w:cs="Arial" w:ascii="Arial" w:hAnsi="Arial"/>
          <w:sz w:val="20"/>
          <w:szCs w:val="20"/>
        </w:rPr>
        <w:t>8.538, de 06 de outubro de 2015</w:t>
      </w:r>
      <w:r>
        <w:rPr>
          <w:rFonts w:cs="Arial" w:ascii="Arial" w:hAnsi="Arial"/>
          <w:color w:val="000000"/>
          <w:sz w:val="20"/>
          <w:szCs w:val="20"/>
        </w:rPr>
        <w:t xml:space="preserve">, aplicando-se, subsidiariamente, a Lei nº 8.666, de 21 de junho de 1993, e as exigências estabelecidas neste Edital. </w:t>
      </w:r>
    </w:p>
    <w:p>
      <w:pPr>
        <w:pStyle w:val="Normal"/>
        <w:rPr/>
      </w:pPr>
      <w:r>
        <w:rPr>
          <w:rFonts w:cs="Arial" w:ascii="Arial" w:hAnsi="Arial"/>
          <w:color w:val="000000"/>
          <w:sz w:val="20"/>
          <w:szCs w:val="20"/>
        </w:rPr>
        <w:t>Data da sessão: 26/10/2017</w:t>
      </w:r>
    </w:p>
    <w:p>
      <w:pPr>
        <w:pStyle w:val="Normal"/>
        <w:rPr/>
      </w:pPr>
      <w:r>
        <w:rPr>
          <w:rFonts w:cs="Arial" w:ascii="Arial" w:hAnsi="Arial"/>
          <w:color w:val="000000"/>
          <w:sz w:val="20"/>
          <w:szCs w:val="20"/>
        </w:rPr>
        <w:t>Horário: 15:40</w:t>
      </w:r>
    </w:p>
    <w:p>
      <w:pPr>
        <w:pStyle w:val="Normal"/>
        <w:rPr>
          <w:rFonts w:ascii="Arial" w:hAnsi="Arial" w:cs="Arial"/>
          <w:color w:val="000000"/>
          <w:sz w:val="20"/>
          <w:szCs w:val="20"/>
        </w:rPr>
      </w:pPr>
      <w:r>
        <w:rPr>
          <w:rFonts w:cs="Arial" w:ascii="Arial" w:hAnsi="Arial"/>
          <w:color w:val="000000"/>
          <w:sz w:val="20"/>
          <w:szCs w:val="20"/>
        </w:rPr>
        <w:t>Local: Portal de Compras do Governo Federal – www.comprasgovernamentais.gov.br</w:t>
      </w:r>
    </w:p>
    <w:p>
      <w:pPr>
        <w:pStyle w:val="Normal"/>
        <w:rPr>
          <w:rFonts w:ascii="Arial" w:hAnsi="Arial" w:cs="Arial"/>
          <w:color w:val="000000"/>
          <w:sz w:val="20"/>
          <w:szCs w:val="20"/>
        </w:rPr>
      </w:pPr>
      <w:r>
        <w:rPr>
          <w:rFonts w:cs="Arial" w:ascii="Arial" w:hAnsi="Arial"/>
          <w:color w:val="000000"/>
          <w:sz w:val="20"/>
          <w:szCs w:val="20"/>
        </w:rPr>
      </w:r>
    </w:p>
    <w:p>
      <w:pPr>
        <w:pStyle w:val="Normal"/>
        <w:rPr>
          <w:rFonts w:ascii="Arial" w:hAnsi="Arial" w:cs="Arial"/>
          <w:sz w:val="20"/>
          <w:szCs w:val="20"/>
        </w:rPr>
      </w:pPr>
      <w:r>
        <w:rPr>
          <w:rFonts w:cs="Arial" w:ascii="Arial" w:hAnsi="Arial"/>
          <w:sz w:val="20"/>
          <w:szCs w:val="20"/>
        </w:rPr>
      </w:r>
    </w:p>
    <w:p>
      <w:pPr>
        <w:pStyle w:val="Normal"/>
        <w:numPr>
          <w:ilvl w:val="0"/>
          <w:numId w:val="1"/>
        </w:numPr>
        <w:spacing w:lineRule="auto" w:line="276" w:before="0" w:after="120"/>
        <w:ind w:left="360" w:right="-15" w:hanging="360"/>
        <w:jc w:val="both"/>
        <w:rPr>
          <w:rFonts w:ascii="Arial" w:hAnsi="Arial" w:cs="Arial"/>
          <w:b/>
          <w:b/>
          <w:color w:val="000000"/>
          <w:sz w:val="20"/>
          <w:szCs w:val="20"/>
        </w:rPr>
      </w:pPr>
      <w:r>
        <w:rPr>
          <w:rFonts w:cs="Arial" w:ascii="Arial" w:hAnsi="Arial"/>
          <w:b/>
          <w:color w:val="000000"/>
          <w:sz w:val="20"/>
          <w:szCs w:val="20"/>
        </w:rPr>
        <w:t>DO OBJETO</w:t>
      </w:r>
    </w:p>
    <w:p>
      <w:pPr>
        <w:pStyle w:val="Normal"/>
        <w:numPr>
          <w:ilvl w:val="1"/>
          <w:numId w:val="1"/>
        </w:numPr>
        <w:spacing w:lineRule="auto" w:line="276" w:before="120" w:after="120"/>
        <w:ind w:left="425" w:hanging="0"/>
        <w:jc w:val="both"/>
        <w:rPr/>
      </w:pPr>
      <w:r>
        <w:rPr>
          <w:rFonts w:cs="Arial" w:ascii="Arial" w:hAnsi="Arial"/>
          <w:color w:val="000000"/>
          <w:sz w:val="20"/>
          <w:szCs w:val="20"/>
        </w:rPr>
        <w:t>O objeto da presente licitação é a escolha da proposta mais vantajosa para a aquisição de materiais, insumos e equipamentos para as Coordenadorias de Tecnologia da Informação, conforme condições, quantidades e exigências estabelecidas neste Edital e seus anexos.</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tbl>
      <w:tblPr>
        <w:tblW w:w="9219"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5" w:type="dxa"/>
          <w:bottom w:w="0" w:type="dxa"/>
          <w:right w:w="70" w:type="dxa"/>
        </w:tblCellMar>
        <w:tblLook w:firstRow="1" w:noVBand="1" w:lastRow="0" w:firstColumn="1" w:lastColumn="0" w:noHBand="0" w:val="04a0"/>
      </w:tblPr>
      <w:tblGrid>
        <w:gridCol w:w="794"/>
        <w:gridCol w:w="3062"/>
        <w:gridCol w:w="1243"/>
        <w:gridCol w:w="1592"/>
        <w:gridCol w:w="1"/>
        <w:gridCol w:w="1255"/>
        <w:gridCol w:w="1271"/>
      </w:tblGrid>
      <w:tr>
        <w:trPr>
          <w:trHeight w:val="23" w:hRule="exac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cs="Times New Roman" w:asciiTheme="minorHAnsi" w:hAnsiTheme="minorHAnsi"/>
                <w:b/>
                <w:b/>
                <w:bCs/>
              </w:rPr>
            </w:pPr>
            <w:r>
              <w:rPr>
                <w:rFonts w:cs="Times New Roman" w:ascii="Calibri" w:hAnsi="Calibri"/>
                <w:b/>
                <w:bCs/>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cs="Times New Roman" w:asciiTheme="minorHAnsi" w:hAnsiTheme="minorHAnsi"/>
                <w:b/>
                <w:b/>
                <w:bCs/>
              </w:rPr>
            </w:pPr>
            <w:r>
              <w:rPr>
                <w:rFonts w:cs="Times New Roman" w:ascii="Calibri" w:hAnsi="Calibri"/>
                <w:b/>
                <w:bCs/>
              </w:rPr>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cs="Times New Roman" w:asciiTheme="minorHAnsi" w:hAnsiTheme="minorHAnsi"/>
                <w:b/>
                <w:b/>
                <w:bCs/>
              </w:rPr>
            </w:pPr>
            <w:r>
              <w:rPr>
                <w:rFonts w:cs="Times New Roman" w:ascii="Calibri" w:hAnsi="Calibri"/>
                <w:b/>
                <w:bCs/>
              </w:rPr>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cs="Times New Roman" w:asciiTheme="minorHAnsi" w:hAnsiTheme="minorHAnsi"/>
                <w:b/>
                <w:b/>
                <w:bCs/>
              </w:rPr>
            </w:pPr>
            <w:r>
              <w:rPr>
                <w:rFonts w:cs="Times New Roman" w:ascii="Calibri" w:hAnsi="Calibri"/>
                <w:b/>
                <w:bCs/>
              </w:rPr>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cs="Times New Roman" w:asciiTheme="minorHAnsi" w:hAnsiTheme="minorHAnsi"/>
                <w:b/>
                <w:b/>
                <w:bCs/>
              </w:rPr>
            </w:pPr>
            <w:r>
              <w:rPr>
                <w:rFonts w:cs="Times New Roman" w:ascii="Calibri" w:hAnsi="Calibri"/>
                <w:b/>
                <w:bCs/>
              </w:rPr>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vAlign w:val="center"/>
          </w:tcPr>
          <w:p>
            <w:pPr>
              <w:pStyle w:val="Normal"/>
              <w:rPr>
                <w:rFonts w:ascii="Calibri" w:hAnsi="Calibri" w:cs="Times New Roman" w:asciiTheme="minorHAnsi" w:hAnsiTheme="minorHAnsi"/>
                <w:b/>
                <w:b/>
                <w:bCs/>
              </w:rPr>
            </w:pPr>
            <w:r>
              <w:rPr>
                <w:rFonts w:cs="Times New Roman" w:ascii="Calibri" w:hAnsi="Calibri"/>
                <w:b/>
                <w:bCs/>
              </w:rPr>
            </w:r>
          </w:p>
        </w:tc>
      </w:tr>
      <w:tr>
        <w:trPr>
          <w:trHeight w:val="578"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rFonts w:ascii="Calibri" w:hAnsi="Calibri"/>
                <w:sz w:val="20"/>
                <w:szCs w:val="20"/>
              </w:rPr>
            </w:pPr>
            <w:r>
              <w:rPr>
                <w:rFonts w:ascii="Calibri" w:hAnsi="Calibri"/>
                <w:sz w:val="20"/>
                <w:szCs w:val="20"/>
              </w:rPr>
              <w:t>ITEM</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rFonts w:ascii="Calibri" w:hAnsi="Calibri"/>
                <w:sz w:val="20"/>
                <w:szCs w:val="20"/>
              </w:rPr>
            </w:pPr>
            <w:r>
              <w:rPr>
                <w:rFonts w:ascii="Calibri" w:hAnsi="Calibri"/>
                <w:sz w:val="20"/>
                <w:szCs w:val="20"/>
              </w:rPr>
              <w:t>ESPECIFICAÇÃO</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center"/>
              <w:rPr>
                <w:rFonts w:ascii="Calibri" w:hAnsi="Calibri"/>
                <w:sz w:val="20"/>
                <w:szCs w:val="20"/>
              </w:rPr>
            </w:pPr>
            <w:r>
              <w:rPr>
                <w:rFonts w:ascii="Calibri" w:hAnsi="Calibri"/>
                <w:sz w:val="20"/>
                <w:szCs w:val="20"/>
              </w:rPr>
              <w:t>UNIDADE</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center"/>
              <w:rPr>
                <w:rFonts w:ascii="Calibri" w:hAnsi="Calibri"/>
                <w:sz w:val="20"/>
                <w:szCs w:val="20"/>
              </w:rPr>
            </w:pPr>
            <w:r>
              <w:rPr>
                <w:rFonts w:ascii="Calibri" w:hAnsi="Calibri"/>
                <w:sz w:val="20"/>
                <w:szCs w:val="20"/>
              </w:rPr>
              <w:t>QUANTIDADE</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rFonts w:ascii="Calibri" w:hAnsi="Calibri"/>
                <w:sz w:val="20"/>
                <w:szCs w:val="20"/>
              </w:rPr>
            </w:pPr>
            <w:r>
              <w:rPr>
                <w:rFonts w:ascii="Calibri" w:hAnsi="Calibri"/>
                <w:sz w:val="20"/>
                <w:szCs w:val="20"/>
              </w:rPr>
              <w:t>VALOR UNITÁRIO</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rFonts w:ascii="Calibri" w:hAnsi="Calibri" w:cs="Times New Roman" w:asciiTheme="minorHAnsi" w:hAnsiTheme="minorHAnsi"/>
                <w:b w:val="false"/>
                <w:b w:val="false"/>
                <w:bCs w:val="false"/>
                <w:sz w:val="20"/>
                <w:szCs w:val="20"/>
              </w:rPr>
            </w:pPr>
            <w:r>
              <w:rPr>
                <w:rFonts w:cs="Times New Roman" w:ascii="Calibri" w:hAnsi="Calibri"/>
                <w:b w:val="false"/>
                <w:bCs w:val="false"/>
                <w:sz w:val="20"/>
                <w:szCs w:val="20"/>
              </w:rPr>
              <w:t>VALOR TOTAL</w:t>
            </w:r>
          </w:p>
        </w:tc>
      </w:tr>
      <w:tr>
        <w:trPr>
          <w:trHeight w:val="578"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sz w:val="20"/>
                <w:szCs w:val="20"/>
              </w:rPr>
            </w:pPr>
            <w:r>
              <w:rPr>
                <w:rFonts w:cs="Arial" w:ascii="Calibri" w:hAnsi="Calibri" w:asciiTheme="minorHAnsi" w:hAnsiTheme="minorHAnsi"/>
                <w:bCs/>
                <w:caps/>
                <w:sz w:val="20"/>
                <w:szCs w:val="20"/>
              </w:rPr>
              <w:t>1</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both"/>
              <w:rPr>
                <w:sz w:val="20"/>
                <w:szCs w:val="20"/>
              </w:rPr>
            </w:pPr>
            <w:r>
              <w:rPr>
                <w:rFonts w:cs="Arial" w:ascii="Calibri" w:hAnsi="Calibri" w:asciiTheme="minorHAnsi" w:hAnsiTheme="minorHAnsi"/>
                <w:sz w:val="20"/>
                <w:szCs w:val="20"/>
              </w:rPr>
              <w:t>Soprador térmico 1800 watts + acessórios e maleta.</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UN</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01</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199,00</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199,00</w:t>
            </w:r>
          </w:p>
        </w:tc>
      </w:tr>
      <w:tr>
        <w:trPr>
          <w:trHeight w:val="397"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55" w:type="dxa"/>
            </w:tcMar>
            <w:vAlign w:val="center"/>
          </w:tcPr>
          <w:p>
            <w:pPr>
              <w:pStyle w:val="Normal"/>
              <w:jc w:val="center"/>
              <w:rPr>
                <w:sz w:val="20"/>
                <w:szCs w:val="20"/>
              </w:rPr>
            </w:pPr>
            <w:r>
              <w:rPr>
                <w:rFonts w:cs="Arial" w:ascii="Calibri" w:hAnsi="Calibri" w:asciiTheme="minorHAnsi" w:hAnsiTheme="minorHAnsi"/>
                <w:bCs/>
                <w:caps/>
                <w:sz w:val="20"/>
                <w:szCs w:val="20"/>
              </w:rPr>
              <w:t>2</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rPr>
                <w:sz w:val="20"/>
                <w:szCs w:val="20"/>
              </w:rPr>
            </w:pPr>
            <w:r>
              <w:rPr>
                <w:rFonts w:cs="Arial" w:ascii="Calibri" w:hAnsi="Calibri" w:asciiTheme="minorHAnsi" w:hAnsiTheme="minorHAnsi"/>
                <w:sz w:val="20"/>
                <w:szCs w:val="20"/>
              </w:rPr>
              <w:t>Estação de Solda.</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UN</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01</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708,47</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708,47</w:t>
            </w:r>
          </w:p>
        </w:tc>
      </w:tr>
      <w:tr>
        <w:trPr>
          <w:trHeight w:val="397"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sz w:val="20"/>
                <w:szCs w:val="20"/>
              </w:rPr>
            </w:pPr>
            <w:r>
              <w:rPr>
                <w:rFonts w:cs="Arial" w:ascii="Calibri" w:hAnsi="Calibri" w:asciiTheme="minorHAnsi" w:hAnsiTheme="minorHAnsi"/>
                <w:bCs/>
                <w:caps/>
                <w:sz w:val="20"/>
                <w:szCs w:val="20"/>
              </w:rPr>
              <w:t>3</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both"/>
              <w:rPr>
                <w:sz w:val="20"/>
                <w:szCs w:val="20"/>
              </w:rPr>
            </w:pPr>
            <w:r>
              <w:rPr>
                <w:rFonts w:cs="Times-Bold" w:ascii="Calibri" w:hAnsi="Calibri" w:asciiTheme="minorHAnsi" w:hAnsiTheme="minorHAnsi"/>
                <w:bCs/>
                <w:sz w:val="20"/>
                <w:szCs w:val="20"/>
              </w:rPr>
              <w:t>Kit Rotulador Eletrônico.</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UN</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02</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299,49</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598,98</w:t>
            </w:r>
          </w:p>
        </w:tc>
      </w:tr>
      <w:tr>
        <w:trPr>
          <w:trHeight w:val="397"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55" w:type="dxa"/>
            </w:tcMar>
            <w:vAlign w:val="center"/>
          </w:tcPr>
          <w:p>
            <w:pPr>
              <w:pStyle w:val="Normal"/>
              <w:jc w:val="center"/>
              <w:rPr>
                <w:sz w:val="20"/>
                <w:szCs w:val="20"/>
              </w:rPr>
            </w:pPr>
            <w:r>
              <w:rPr>
                <w:rFonts w:cs="Arial" w:ascii="Calibri" w:hAnsi="Calibri" w:asciiTheme="minorHAnsi" w:hAnsiTheme="minorHAnsi"/>
                <w:bCs/>
                <w:caps/>
                <w:sz w:val="20"/>
                <w:szCs w:val="20"/>
              </w:rPr>
              <w:t>4</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both"/>
              <w:rPr>
                <w:sz w:val="20"/>
                <w:szCs w:val="20"/>
              </w:rPr>
            </w:pPr>
            <w:r>
              <w:rPr>
                <w:rFonts w:cs="Arial" w:ascii="Calibri" w:hAnsi="Calibri" w:asciiTheme="minorHAnsi" w:hAnsiTheme="minorHAnsi"/>
                <w:sz w:val="20"/>
                <w:szCs w:val="20"/>
              </w:rPr>
              <w:t>Kit Ferramenta Manutenção de Computador 42 peças.</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center"/>
              <w:rPr>
                <w:sz w:val="20"/>
                <w:szCs w:val="20"/>
              </w:rPr>
            </w:pPr>
            <w:r>
              <w:rPr>
                <w:rFonts w:cs="Times New Roman" w:ascii="Calibri" w:hAnsi="Calibri" w:asciiTheme="minorHAnsi" w:hAnsiTheme="minorHAnsi"/>
                <w:color w:val="000000"/>
                <w:sz w:val="20"/>
                <w:szCs w:val="20"/>
              </w:rPr>
              <w:t>UN</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04</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116,00</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464,00</w:t>
            </w:r>
          </w:p>
        </w:tc>
      </w:tr>
      <w:tr>
        <w:trPr>
          <w:trHeight w:val="397"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sz w:val="20"/>
                <w:szCs w:val="20"/>
              </w:rPr>
            </w:pPr>
            <w:r>
              <w:rPr>
                <w:rFonts w:cs="Arial" w:ascii="Calibri" w:hAnsi="Calibri" w:asciiTheme="minorHAnsi" w:hAnsiTheme="minorHAnsi"/>
                <w:bCs/>
                <w:caps/>
                <w:sz w:val="20"/>
                <w:szCs w:val="20"/>
              </w:rPr>
              <w:t>5</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both"/>
              <w:rPr>
                <w:sz w:val="20"/>
                <w:szCs w:val="20"/>
              </w:rPr>
            </w:pPr>
            <w:r>
              <w:rPr>
                <w:rFonts w:ascii="Calibri" w:hAnsi="Calibri" w:asciiTheme="minorHAnsi" w:hAnsiTheme="minorHAnsi"/>
                <w:bCs/>
                <w:sz w:val="20"/>
                <w:szCs w:val="20"/>
              </w:rPr>
              <w:t>Aspirador/jateador de pó para microcomputador</w:t>
            </w:r>
            <w:r>
              <w:rPr>
                <w:rFonts w:ascii="Calibri" w:hAnsi="Calibri" w:asciiTheme="minorHAnsi" w:hAnsiTheme="minorHAnsi"/>
                <w:sz w:val="20"/>
                <w:szCs w:val="20"/>
              </w:rPr>
              <w:t>.</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UN</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04</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176,70</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706,80</w:t>
            </w:r>
          </w:p>
        </w:tc>
      </w:tr>
      <w:tr>
        <w:trPr>
          <w:trHeight w:val="397" w:hRule="atLeast"/>
        </w:trPr>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55" w:type="dxa"/>
            </w:tcMar>
            <w:vAlign w:val="center"/>
          </w:tcPr>
          <w:p>
            <w:pPr>
              <w:pStyle w:val="Normal"/>
              <w:jc w:val="center"/>
              <w:rPr>
                <w:sz w:val="20"/>
                <w:szCs w:val="20"/>
              </w:rPr>
            </w:pPr>
            <w:r>
              <w:rPr>
                <w:rFonts w:cs="Arial" w:ascii="Calibri" w:hAnsi="Calibri" w:asciiTheme="minorHAnsi" w:hAnsiTheme="minorHAnsi"/>
                <w:bCs/>
                <w:caps/>
                <w:sz w:val="20"/>
                <w:szCs w:val="20"/>
              </w:rPr>
              <w:t>6</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rPr>
                <w:sz w:val="20"/>
                <w:szCs w:val="20"/>
              </w:rPr>
            </w:pPr>
            <w:r>
              <w:rPr>
                <w:rFonts w:cs="Arial" w:ascii="Calibri" w:hAnsi="Calibri" w:asciiTheme="minorHAnsi" w:hAnsiTheme="minorHAnsi"/>
                <w:sz w:val="20"/>
                <w:szCs w:val="20"/>
              </w:rPr>
              <w:t>Multímetro Digital de Mesa com Teste de Rede e Usb.</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UN</w:t>
            </w:r>
          </w:p>
        </w:tc>
        <w:tc>
          <w:tcPr>
            <w:tcW w:w="15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center"/>
              <w:rPr>
                <w:sz w:val="20"/>
                <w:szCs w:val="20"/>
              </w:rPr>
            </w:pPr>
            <w:r>
              <w:rPr>
                <w:rFonts w:cs="Times New Roman" w:ascii="Calibri" w:hAnsi="Calibri" w:asciiTheme="minorHAnsi" w:hAnsiTheme="minorHAnsi"/>
                <w:sz w:val="20"/>
                <w:szCs w:val="20"/>
              </w:rPr>
              <w:t>04</w:t>
            </w:r>
          </w:p>
        </w:tc>
        <w:tc>
          <w:tcPr>
            <w:tcW w:w="1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130,65</w:t>
            </w:r>
          </w:p>
        </w:tc>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rFonts w:ascii="Calibri" w:hAnsi="Calibri" w:cs="Times New Roman" w:asciiTheme="minorHAnsi" w:hAnsiTheme="minorHAnsi"/>
                <w:sz w:val="20"/>
                <w:szCs w:val="20"/>
              </w:rPr>
            </w:pPr>
            <w:r>
              <w:rPr>
                <w:rFonts w:cs="Times New Roman" w:ascii="Calibri" w:hAnsi="Calibri"/>
                <w:sz w:val="20"/>
                <w:szCs w:val="20"/>
              </w:rPr>
              <w:t>522,60</w:t>
            </w:r>
          </w:p>
        </w:tc>
      </w:tr>
      <w:tr>
        <w:trPr>
          <w:trHeight w:val="397" w:hRule="atLeast"/>
        </w:trPr>
        <w:tc>
          <w:tcPr>
            <w:tcW w:w="66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55" w:type="dxa"/>
            </w:tcMar>
            <w:vAlign w:val="center"/>
          </w:tcPr>
          <w:p>
            <w:pPr>
              <w:pStyle w:val="Normal"/>
              <w:jc w:val="center"/>
              <w:rPr/>
            </w:pPr>
            <w:r>
              <w:rPr/>
              <w:t>VALOR  TOTAL</w:t>
            </w:r>
          </w:p>
        </w:tc>
        <w:tc>
          <w:tcPr>
            <w:tcW w:w="252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55" w:type="dxa"/>
            </w:tcMar>
            <w:vAlign w:val="center"/>
          </w:tcPr>
          <w:p>
            <w:pPr>
              <w:pStyle w:val="Normal"/>
              <w:jc w:val="right"/>
              <w:rPr/>
            </w:pPr>
            <w:r>
              <w:rPr/>
              <w:t>3.199,85</w:t>
            </w:r>
          </w:p>
        </w:tc>
      </w:tr>
    </w:tbl>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1"/>
          <w:numId w:val="1"/>
        </w:numPr>
        <w:spacing w:lineRule="auto" w:line="276" w:before="120" w:after="120"/>
        <w:ind w:left="425" w:hanging="0"/>
        <w:jc w:val="both"/>
        <w:rPr>
          <w:rFonts w:ascii="Arial" w:hAnsi="Arial" w:cs="Arial"/>
          <w:color w:val="FF0000"/>
          <w:sz w:val="20"/>
          <w:szCs w:val="20"/>
        </w:rPr>
      </w:pPr>
      <w:r>
        <w:rPr>
          <w:rFonts w:cs="Arial" w:ascii="Arial" w:hAnsi="Arial"/>
          <w:i w:val="false"/>
          <w:iCs w:val="false"/>
          <w:color w:val="000000"/>
          <w:sz w:val="20"/>
          <w:szCs w:val="20"/>
        </w:rPr>
        <w:t>A licitação será dividida em itens, conforme tabela constante do Termo de Referência, facultando-se ao licitante a participação em quantos itens forem de seu interesse.</w:t>
      </w:r>
      <w:r>
        <w:rPr>
          <w:rFonts w:cs="Arial" w:ascii="Arial" w:hAnsi="Arial"/>
          <w:color w:val="FF0000"/>
          <w:sz w:val="20"/>
          <w:szCs w:val="20"/>
        </w:rPr>
        <w:t xml:space="preserve"> </w:t>
      </w:r>
    </w:p>
    <w:p>
      <w:pPr>
        <w:pStyle w:val="Normal"/>
        <w:spacing w:lineRule="auto" w:line="276" w:before="120" w:after="120"/>
        <w:ind w:left="425" w:hanging="0"/>
        <w:jc w:val="both"/>
        <w:rPr>
          <w:rFonts w:ascii="Arial" w:hAnsi="Arial" w:cs="Arial"/>
          <w:b/>
          <w:b/>
          <w:i/>
          <w:i/>
          <w:color w:val="000000"/>
          <w:sz w:val="20"/>
          <w:szCs w:val="20"/>
        </w:rPr>
      </w:pPr>
      <w:r>
        <w:rPr>
          <w:rFonts w:cs="Arial" w:ascii="Arial" w:hAnsi="Arial"/>
          <w:b/>
          <w:i/>
          <w:color w:val="000000"/>
          <w:sz w:val="20"/>
          <w:szCs w:val="20"/>
        </w:rPr>
      </w:r>
    </w:p>
    <w:p>
      <w:pPr>
        <w:pStyle w:val="Normal"/>
        <w:numPr>
          <w:ilvl w:val="0"/>
          <w:numId w:val="1"/>
        </w:numPr>
        <w:spacing w:lineRule="auto" w:line="276" w:before="0" w:after="120"/>
        <w:jc w:val="both"/>
        <w:rPr>
          <w:rFonts w:ascii="Arial" w:hAnsi="Arial" w:cs="Arial"/>
          <w:b/>
          <w:b/>
          <w:color w:val="000000"/>
          <w:sz w:val="20"/>
          <w:szCs w:val="20"/>
        </w:rPr>
      </w:pPr>
      <w:r>
        <w:rPr>
          <w:rFonts w:cs="Arial" w:ascii="Arial" w:hAnsi="Arial"/>
          <w:b/>
          <w:color w:val="000000"/>
          <w:sz w:val="20"/>
          <w:szCs w:val="20"/>
        </w:rPr>
        <w:t>DOS RECURSOS ORÇAMENTÁRIOS</w:t>
      </w:r>
    </w:p>
    <w:p>
      <w:pPr>
        <w:pStyle w:val="Normal"/>
        <w:numPr>
          <w:ilvl w:val="1"/>
          <w:numId w:val="1"/>
        </w:numPr>
        <w:spacing w:lineRule="auto" w:line="276" w:before="0" w:after="120"/>
        <w:ind w:left="0" w:right="-15" w:firstLine="567"/>
        <w:jc w:val="both"/>
        <w:rPr/>
      </w:pPr>
      <w:r>
        <w:rPr>
          <w:rFonts w:cs="Arial" w:ascii="Arial" w:hAnsi="Arial"/>
          <w:color w:val="000000"/>
          <w:sz w:val="20"/>
          <w:szCs w:val="20"/>
        </w:rPr>
        <w:t>As despesas para atender a esta licitação estão programadas em dotação orçamentária própria, prevista no orçamento da União para o exercício de 2017, na classificação abaixo:</w:t>
      </w:r>
    </w:p>
    <w:p>
      <w:pPr>
        <w:pStyle w:val="Normal"/>
        <w:suppressAutoHyphens w:val="true"/>
        <w:spacing w:lineRule="auto" w:line="276" w:before="0" w:after="120"/>
        <w:ind w:firstLine="567"/>
        <w:rPr/>
      </w:pPr>
      <w:r>
        <w:rPr>
          <w:rFonts w:cs="Arial" w:ascii="Arial" w:hAnsi="Arial"/>
          <w:color w:val="000000"/>
          <w:sz w:val="20"/>
          <w:szCs w:val="20"/>
          <w:lang w:eastAsia="en-US"/>
        </w:rPr>
        <w:t>Gestão/Unidade:  26423</w:t>
      </w:r>
    </w:p>
    <w:p>
      <w:pPr>
        <w:pStyle w:val="Normal"/>
        <w:suppressAutoHyphens w:val="true"/>
        <w:spacing w:lineRule="auto" w:line="276" w:before="0" w:after="120"/>
        <w:ind w:firstLine="567"/>
        <w:rPr/>
      </w:pPr>
      <w:r>
        <w:rPr>
          <w:rFonts w:cs="Arial" w:ascii="Arial" w:hAnsi="Arial"/>
          <w:color w:val="000000"/>
          <w:sz w:val="20"/>
          <w:szCs w:val="20"/>
          <w:lang w:eastAsia="en-US"/>
        </w:rPr>
        <w:t>Fonte: 0112000000</w:t>
      </w:r>
    </w:p>
    <w:p>
      <w:pPr>
        <w:pStyle w:val="Normal"/>
        <w:suppressAutoHyphens w:val="true"/>
        <w:spacing w:lineRule="auto" w:line="276" w:before="0" w:after="120"/>
        <w:ind w:firstLine="567"/>
        <w:rPr/>
      </w:pPr>
      <w:r>
        <w:rPr>
          <w:rFonts w:cs="Arial" w:ascii="Arial" w:hAnsi="Arial"/>
          <w:color w:val="000000"/>
          <w:sz w:val="20"/>
          <w:szCs w:val="20"/>
          <w:lang w:eastAsia="en-US"/>
        </w:rPr>
        <w:t>Programa de Trabalho:  12.363.2080.20RL.0028</w:t>
      </w:r>
    </w:p>
    <w:p>
      <w:pPr>
        <w:pStyle w:val="Normal"/>
        <w:suppressAutoHyphens w:val="true"/>
        <w:spacing w:lineRule="auto" w:line="276" w:before="0" w:after="120"/>
        <w:ind w:firstLine="567"/>
        <w:rPr/>
      </w:pPr>
      <w:r>
        <w:rPr>
          <w:rFonts w:cs="Arial" w:ascii="Arial" w:hAnsi="Arial"/>
          <w:color w:val="000000"/>
          <w:sz w:val="20"/>
          <w:szCs w:val="20"/>
          <w:lang w:eastAsia="en-US"/>
        </w:rPr>
        <w:t>Elemento de Despesa:  449000</w:t>
      </w:r>
    </w:p>
    <w:p>
      <w:pPr>
        <w:pStyle w:val="Normal"/>
        <w:spacing w:lineRule="auto" w:line="276" w:before="0" w:after="120"/>
        <w:ind w:right="-15" w:firstLine="567"/>
        <w:jc w:val="both"/>
        <w:rPr/>
      </w:pPr>
      <w:r>
        <w:rPr>
          <w:rFonts w:cs="Arial" w:ascii="Arial" w:hAnsi="Arial"/>
          <w:color w:val="000000"/>
          <w:sz w:val="20"/>
          <w:szCs w:val="20"/>
          <w:lang w:eastAsia="en-US"/>
        </w:rPr>
        <w:t>PI: VOINVN0100N</w:t>
      </w:r>
    </w:p>
    <w:p>
      <w:pPr>
        <w:pStyle w:val="Normal"/>
        <w:spacing w:lineRule="auto" w:line="276" w:before="0" w:after="120"/>
        <w:ind w:right="-15" w:hanging="0"/>
        <w:jc w:val="both"/>
        <w:rPr>
          <w:rFonts w:ascii="Arial" w:hAnsi="Arial" w:cs="Arial"/>
          <w:color w:val="000000"/>
          <w:sz w:val="20"/>
          <w:szCs w:val="20"/>
          <w:lang w:eastAsia="en-US"/>
        </w:rPr>
      </w:pPr>
      <w:r>
        <w:rPr>
          <w:rFonts w:cs="Arial" w:ascii="Arial" w:hAnsi="Arial"/>
          <w:color w:val="000000"/>
          <w:sz w:val="20"/>
          <w:szCs w:val="20"/>
          <w:lang w:eastAsia="en-US"/>
        </w:rPr>
      </w:r>
    </w:p>
    <w:p>
      <w:pPr>
        <w:pStyle w:val="Normal"/>
        <w:numPr>
          <w:ilvl w:val="0"/>
          <w:numId w:val="1"/>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DO CREDENCIAMENTO</w:t>
      </w:r>
    </w:p>
    <w:p>
      <w:pPr>
        <w:pStyle w:val="Normal"/>
        <w:numPr>
          <w:ilvl w:val="1"/>
          <w:numId w:val="1"/>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O Credenciamento é o nível básico do registro cadastral no SICAF, que permite a participação dos interessados na modalidade licitatória Pregão, em sua forma eletrônica.</w:t>
      </w:r>
    </w:p>
    <w:p>
      <w:pPr>
        <w:pStyle w:val="Normal"/>
        <w:numPr>
          <w:ilvl w:val="1"/>
          <w:numId w:val="1"/>
        </w:numPr>
        <w:spacing w:lineRule="auto" w:line="276" w:before="120" w:after="120"/>
        <w:ind w:left="425" w:hanging="0"/>
        <w:jc w:val="both"/>
        <w:rPr/>
      </w:pPr>
      <w:r>
        <w:rPr>
          <w:rFonts w:cs="Arial" w:ascii="Arial" w:hAnsi="Arial"/>
          <w:bCs/>
          <w:iCs/>
          <w:color w:val="000000"/>
          <w:sz w:val="20"/>
          <w:szCs w:val="20"/>
        </w:rPr>
        <w:t>O cadastro no SICAF poderá ser iniciado no Portal de Compras do Governo Federal, no sítio www.comprasgovernamentais.gov.br, com a solicitação de login e senha pelo interessado.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uso da senha de acesso pelo licitante é de sua responsabilidade exclusiva, incluindo qualquer transação efetuada diretamente ou por seu representante, não cabendo ao provedor do sistema, ou ao órgão o33u entidade responsável por esta licitação, responsabilidade por eventuais danos decorrentes de uso indevido da senha, ainda que por terceiros.</w:t>
      </w:r>
    </w:p>
    <w:p>
      <w:pPr>
        <w:pStyle w:val="Normal"/>
        <w:numPr>
          <w:ilvl w:val="1"/>
          <w:numId w:val="1"/>
        </w:numPr>
        <w:snapToGrid w:val="false"/>
        <w:spacing w:lineRule="auto" w:line="276" w:before="120" w:after="120"/>
        <w:ind w:left="425" w:hanging="0"/>
        <w:jc w:val="both"/>
        <w:rPr>
          <w:rFonts w:ascii="Arial" w:hAnsi="Arial" w:cs="Arial"/>
          <w:bCs/>
          <w:color w:val="000000"/>
          <w:sz w:val="20"/>
          <w:szCs w:val="20"/>
        </w:rPr>
      </w:pPr>
      <w:r>
        <w:rPr>
          <w:rFonts w:cs="Arial" w:ascii="Arial" w:hAnsi="Arial"/>
          <w:color w:val="000000"/>
          <w:sz w:val="20"/>
          <w:szCs w:val="20"/>
          <w:lang w:eastAsia="en-US"/>
        </w:rPr>
        <w:t>A perda da senha ou a quebra de sigilo deverão ser comunicadas imediatamente ao provedor do sistema para imediato bloqueio de acesso.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1"/>
        </w:numPr>
        <w:snapToGrid w:val="false"/>
        <w:spacing w:lineRule="auto" w:line="276" w:before="0" w:after="120"/>
        <w:ind w:left="360" w:right="-17" w:hanging="360"/>
        <w:jc w:val="both"/>
        <w:rPr>
          <w:rFonts w:ascii="Arial" w:hAnsi="Arial" w:cs="Arial"/>
          <w:b/>
          <w:b/>
          <w:bCs/>
          <w:color w:val="000000"/>
          <w:sz w:val="20"/>
          <w:szCs w:val="20"/>
        </w:rPr>
      </w:pPr>
      <w:r>
        <w:rPr>
          <w:rFonts w:cs="Arial" w:ascii="Arial" w:hAnsi="Arial"/>
          <w:b/>
          <w:bCs/>
          <w:color w:val="000000"/>
          <w:sz w:val="20"/>
          <w:szCs w:val="20"/>
        </w:rPr>
        <w:t>DA PARTICIPAÇÃO NO PREGÃO</w:t>
      </w:r>
    </w:p>
    <w:p>
      <w:pPr>
        <w:pStyle w:val="Normal"/>
        <w:numPr>
          <w:ilvl w:val="1"/>
          <w:numId w:val="1"/>
        </w:numPr>
        <w:spacing w:lineRule="auto" w:line="276" w:before="120" w:after="120"/>
        <w:ind w:left="425" w:hanging="0"/>
        <w:jc w:val="both"/>
        <w:rPr>
          <w:rFonts w:ascii="Arial" w:hAnsi="Arial" w:cs="Arial"/>
          <w:bCs/>
          <w:iCs/>
          <w:color w:val="000000"/>
          <w:sz w:val="20"/>
          <w:szCs w:val="20"/>
        </w:rPr>
      </w:pPr>
      <w:r>
        <w:rPr>
          <w:rFonts w:cs="Arial" w:ascii="Arial" w:hAnsi="Arial"/>
          <w:bCs/>
          <w:color w:val="000000"/>
          <w:sz w:val="20"/>
          <w:szCs w:val="20"/>
        </w:rPr>
        <w:t>A participação neste Pregão é exclusiva a microempresas e empresas de pequeno porte,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conforme disposto no §3º do artigo 8º da Instrução Normativa SLTI/MPOG nº 2, de 2010.</w:t>
      </w:r>
    </w:p>
    <w:p>
      <w:pPr>
        <w:pStyle w:val="Normal"/>
        <w:numPr>
          <w:ilvl w:val="1"/>
          <w:numId w:val="1"/>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1"/>
          <w:numId w:val="1"/>
        </w:numPr>
        <w:snapToGrid w:val="false"/>
        <w:spacing w:lineRule="auto" w:line="276" w:before="120" w:after="120"/>
        <w:ind w:left="425" w:hanging="0"/>
        <w:jc w:val="both"/>
        <w:rPr/>
      </w:pPr>
      <w:r>
        <w:rPr>
          <w:rFonts w:cs="Arial" w:ascii="Arial" w:hAnsi="Arial"/>
          <w:bCs/>
          <w:color w:val="000000"/>
          <w:sz w:val="20"/>
          <w:szCs w:val="20"/>
        </w:rPr>
        <w:t>Não poderão participar desta licitação os interessados indicados no item acima:</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bCs/>
          <w:color w:val="000000"/>
          <w:sz w:val="20"/>
          <w:szCs w:val="20"/>
        </w:rPr>
        <w:t>proibidos de participar de licitações e celebrar contratos administrativos, na forma da legislação vigente;</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rPr>
        <w:t>que estejam sob falência, concurso de credores, em processo de dissolução ou liquidação;</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sz w:val="20"/>
          <w:szCs w:val="20"/>
        </w:rPr>
        <w:t>que</w:t>
      </w:r>
      <w:r>
        <w:rPr>
          <w:rFonts w:eastAsia="Zurich BT" w:cs="Arial" w:ascii="Arial" w:hAnsi="Arial"/>
          <w:bCs/>
          <w:color w:val="000000"/>
          <w:sz w:val="20"/>
          <w:szCs w:val="20"/>
        </w:rPr>
        <w:t xml:space="preserve"> e</w:t>
      </w:r>
      <w:r>
        <w:rPr>
          <w:rFonts w:cs="Arial" w:ascii="Arial" w:hAnsi="Arial"/>
          <w:sz w:val="20"/>
          <w:szCs w:val="20"/>
        </w:rPr>
        <w:t>stejam reunidas em consórcio;</w:t>
      </w:r>
    </w:p>
    <w:p>
      <w:pPr>
        <w:pStyle w:val="ListParagraph"/>
        <w:numPr>
          <w:ilvl w:val="1"/>
          <w:numId w:val="1"/>
        </w:numPr>
        <w:tabs>
          <w:tab w:val="left" w:pos="1440" w:leader="none"/>
        </w:tabs>
        <w:snapToGrid w:val="false"/>
        <w:spacing w:lineRule="auto" w:line="276" w:before="120" w:after="120"/>
        <w:ind w:left="425" w:hanging="0"/>
        <w:contextualSpacing/>
        <w:jc w:val="both"/>
        <w:rPr/>
      </w:pPr>
      <w:r>
        <w:rPr>
          <w:rFonts w:cs="Arial" w:ascii="Arial" w:hAnsi="Arial"/>
          <w:color w:val="000000"/>
          <w:sz w:val="20"/>
          <w:szCs w:val="20"/>
        </w:rPr>
        <w:t xml:space="preserve">Também é vedada a participação de </w:t>
      </w:r>
      <w:r>
        <w:rPr>
          <w:rFonts w:eastAsia="Arial Unicode MS" w:cs="Arial" w:ascii="Arial" w:hAnsi="Arial"/>
          <w:color w:val="000000"/>
          <w:sz w:val="20"/>
          <w:szCs w:val="20"/>
        </w:rPr>
        <w:t>quaisquer interessados que se enquadrem nas vedações previstas no artigo 9º da Lei nº 8.666, de 1993.</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Como condição para participação no Pregão, a entidade de menor porte deverá declarar:</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color w:val="000000"/>
          <w:sz w:val="20"/>
          <w:szCs w:val="20"/>
        </w:rPr>
        <w:t xml:space="preserve">que cumpre os requisitos estabelecidos no artigo 3° </w:t>
      </w:r>
      <w:r>
        <w:rPr>
          <w:rFonts w:cs="Arial" w:ascii="Arial" w:hAnsi="Arial"/>
          <w:color w:val="000000"/>
          <w:sz w:val="20"/>
          <w:szCs w:val="20"/>
        </w:rPr>
        <w:t>da Lei Complementar nº 123, de 2006, estando apta a usufruir do tratamento favorecido estabelecido em seus arts. 42 a 49.</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Deverá assinalar, ainda, “sim” ou “não” em campo próprio do sistema eletrônico, relativo às seguintes declarações:</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rPr>
        <w:t>que está ciente e concorda com as condições contidas no Edital e seus anexos, bem como de que cumpre plenamente os requisitos de habilitação definidos no Edital;</w:t>
      </w:r>
    </w:p>
    <w:p>
      <w:pPr>
        <w:pStyle w:val="Normal"/>
        <w:numPr>
          <w:ilvl w:val="2"/>
          <w:numId w:val="1"/>
        </w:numPr>
        <w:tabs>
          <w:tab w:val="left" w:pos="1440" w:leader="none"/>
        </w:tabs>
        <w:snapToGrid w:val="false"/>
        <w:spacing w:lineRule="auto" w:line="276" w:before="120" w:after="120"/>
        <w:ind w:left="1134" w:hanging="0"/>
        <w:jc w:val="both"/>
        <w:rPr>
          <w:rFonts w:ascii="Arial" w:hAnsi="Arial" w:eastAsia="Zurich BT" w:cs="Arial"/>
          <w:color w:val="000000"/>
          <w:sz w:val="20"/>
          <w:szCs w:val="20"/>
        </w:rPr>
      </w:pPr>
      <w:r>
        <w:rPr>
          <w:rFonts w:cs="Arial" w:ascii="Arial" w:hAnsi="Arial"/>
          <w:color w:val="000000"/>
          <w:sz w:val="20"/>
          <w:szCs w:val="20"/>
        </w:rPr>
        <w:t xml:space="preserve">que inexistem fatos impeditivos para sua habilitação no certame, ciente da obrigatoriedade de declarar ocorrências posteriores; </w:t>
      </w:r>
    </w:p>
    <w:p>
      <w:pPr>
        <w:pStyle w:val="Normal"/>
        <w:numPr>
          <w:ilvl w:val="2"/>
          <w:numId w:val="1"/>
        </w:numPr>
        <w:tabs>
          <w:tab w:val="left" w:pos="1440" w:leader="none"/>
        </w:tabs>
        <w:snapToGrid w:val="false"/>
        <w:spacing w:lineRule="auto" w:line="276" w:before="120" w:after="120"/>
        <w:ind w:left="1134" w:hanging="0"/>
        <w:jc w:val="both"/>
        <w:rPr>
          <w:rFonts w:ascii="Arial" w:hAnsi="Arial" w:eastAsia="Zurich BT" w:cs="Arial"/>
          <w:bCs/>
          <w:color w:val="000000"/>
          <w:sz w:val="20"/>
          <w:szCs w:val="20"/>
        </w:rPr>
      </w:pPr>
      <w:r>
        <w:rPr>
          <w:rFonts w:cs="Arial" w:ascii="Arial" w:hAnsi="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eastAsia="Zurich BT" w:cs="Arial" w:ascii="Arial" w:hAnsi="Arial"/>
          <w:color w:val="000000"/>
          <w:sz w:val="20"/>
          <w:szCs w:val="20"/>
        </w:rPr>
        <w:t>que a proposta foi elaborada de forma independente, nos termos d</w:t>
      </w:r>
      <w:r>
        <w:rPr>
          <w:rFonts w:cs="Arial" w:ascii="Arial" w:hAnsi="Arial"/>
          <w:color w:val="000000"/>
          <w:sz w:val="20"/>
          <w:szCs w:val="20"/>
        </w:rPr>
        <w:t>a Instrução Normativa SLTI/MPOG nº 2, de 16 de setembro de 2009.</w:t>
      </w:r>
    </w:p>
    <w:p>
      <w:pPr>
        <w:pStyle w:val="Normal"/>
        <w:spacing w:lineRule="auto" w:line="276" w:before="0" w:after="120"/>
        <w:ind w:left="756"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spacing w:lineRule="auto" w:line="276" w:before="240" w:after="120"/>
        <w:jc w:val="both"/>
        <w:rPr>
          <w:rFonts w:ascii="Arial" w:hAnsi="Arial" w:cs="Arial"/>
          <w:b/>
          <w:b/>
          <w:color w:val="000000"/>
          <w:sz w:val="20"/>
          <w:szCs w:val="20"/>
        </w:rPr>
      </w:pPr>
      <w:r>
        <w:rPr>
          <w:rFonts w:cs="Arial" w:ascii="Arial" w:hAnsi="Arial"/>
          <w:b/>
          <w:color w:val="000000"/>
          <w:sz w:val="20"/>
          <w:szCs w:val="20"/>
        </w:rPr>
        <w:t>DO ENVIO DA PROPOSTA</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licitante deverá encaminhar a proposta por meio do sistema eletrônico até a data e horário marcados para abertura da sessão, quando então, encerrar-se-á automaticamente a fase de recebimento de propostas.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sz w:val="20"/>
          <w:szCs w:val="20"/>
        </w:rPr>
        <w:t xml:space="preserve">Até a abertura da sessão, os licitantes poderão retirar ou substituir as </w:t>
      </w:r>
      <w:r>
        <w:rPr>
          <w:rFonts w:cs="Arial" w:ascii="Arial" w:hAnsi="Arial"/>
          <w:color w:val="000000"/>
          <w:sz w:val="20"/>
          <w:szCs w:val="20"/>
        </w:rPr>
        <w:t>propostas</w:t>
      </w:r>
      <w:r>
        <w:rPr>
          <w:rFonts w:cs="Arial" w:ascii="Arial" w:hAnsi="Arial"/>
          <w:sz w:val="20"/>
          <w:szCs w:val="20"/>
        </w:rPr>
        <w:t xml:space="preserve"> apresentadas.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1"/>
        </w:numPr>
        <w:tabs>
          <w:tab w:val="left" w:pos="1440" w:leader="none"/>
        </w:tabs>
        <w:snapToGrid w:val="false"/>
        <w:spacing w:lineRule="auto" w:line="276" w:before="120" w:after="120"/>
        <w:ind w:left="1134" w:hanging="0"/>
        <w:jc w:val="both"/>
        <w:rPr>
          <w:i/>
          <w:i/>
          <w:iCs/>
        </w:rPr>
      </w:pPr>
      <w:r>
        <w:rPr>
          <w:rFonts w:cs="Arial" w:ascii="Arial" w:hAnsi="Arial"/>
          <w:i/>
          <w:iCs/>
          <w:sz w:val="20"/>
          <w:szCs w:val="20"/>
        </w:rPr>
        <w:t xml:space="preserve"> </w:t>
      </w:r>
      <w:r>
        <w:rPr>
          <w:rFonts w:cs="Arial" w:ascii="Arial" w:hAnsi="Arial"/>
          <w:i w:val="false"/>
          <w:iCs w:val="false"/>
          <w:color w:val="000000"/>
          <w:sz w:val="20"/>
          <w:szCs w:val="20"/>
        </w:rPr>
        <w:t xml:space="preserve">Valor unitário e total </w:t>
      </w:r>
      <w:r>
        <w:rPr>
          <w:rFonts w:cs="Arial" w:ascii="Arial" w:hAnsi="Arial"/>
          <w:bCs/>
          <w:i w:val="false"/>
          <w:iCs w:val="false"/>
          <w:color w:val="000000"/>
          <w:sz w:val="20"/>
          <w:szCs w:val="20"/>
        </w:rPr>
        <w:t>do item.</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Marca;</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 xml:space="preserve">Fabricante; </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Descrição detalhada do objeto: indicando, no que for aplicável</w:t>
      </w:r>
      <w:r>
        <w:rPr>
          <w:rFonts w:cs="Arial" w:ascii="Arial" w:hAnsi="Arial"/>
          <w:color w:val="000000"/>
          <w:sz w:val="20"/>
          <w:szCs w:val="20"/>
        </w:rPr>
        <w:t xml:space="preserve">, </w:t>
      </w:r>
      <w:r>
        <w:rPr>
          <w:rFonts w:cs="Arial" w:ascii="Arial" w:hAnsi="Arial"/>
          <w:i w:val="false"/>
          <w:iCs w:val="false"/>
          <w:color w:val="000000"/>
          <w:sz w:val="20"/>
          <w:szCs w:val="20"/>
        </w:rPr>
        <w:t>o modelo, prazo de validade ou de garantia, número do registro ou inscrição do bem no órgão competente, quando for o caso;</w:t>
      </w:r>
    </w:p>
    <w:p>
      <w:pPr>
        <w:pStyle w:val="Normal"/>
        <w:numPr>
          <w:ilvl w:val="1"/>
          <w:numId w:val="1"/>
        </w:numPr>
        <w:spacing w:lineRule="auto" w:line="276" w:before="120" w:after="120"/>
        <w:ind w:left="425" w:hanging="0"/>
        <w:jc w:val="both"/>
        <w:rPr/>
      </w:pPr>
      <w:r>
        <w:rPr>
          <w:rFonts w:cs="Arial" w:ascii="Arial" w:hAnsi="Arial"/>
          <w:sz w:val="20"/>
          <w:szCs w:val="20"/>
        </w:rPr>
        <w:t xml:space="preserve">Todas as especificações do objeto contidas na proposta vinculam a </w:t>
      </w:r>
      <w:r>
        <w:rPr>
          <w:rFonts w:cs="Arial" w:ascii="Arial" w:hAnsi="Arial"/>
          <w:color w:val="000000"/>
          <w:sz w:val="20"/>
          <w:szCs w:val="20"/>
        </w:rPr>
        <w:t>Contratada</w:t>
      </w:r>
      <w:r>
        <w:rPr>
          <w:rFonts w:cs="Arial" w:ascii="Arial" w:hAnsi="Arial"/>
          <w:sz w:val="20"/>
          <w:szCs w:val="20"/>
        </w:rPr>
        <w:t xml:space="preserve">.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1"/>
        </w:numPr>
        <w:spacing w:lineRule="auto" w:line="276" w:before="120" w:after="120"/>
        <w:ind w:left="425" w:hanging="0"/>
        <w:jc w:val="both"/>
        <w:rPr/>
      </w:pPr>
      <w:r>
        <w:rPr>
          <w:rFonts w:cs="Arial" w:ascii="Arial" w:hAnsi="Arial"/>
          <w:color w:val="000000"/>
          <w:sz w:val="20"/>
          <w:szCs w:val="20"/>
        </w:rPr>
        <w:t xml:space="preserve">O prazo de validade da proposta não será inferior a 60 </w:t>
      </w:r>
      <w:r>
        <w:rPr>
          <w:rFonts w:cs="Arial" w:ascii="Arial" w:hAnsi="Arial"/>
          <w:bCs/>
          <w:i w:val="false"/>
          <w:iCs w:val="false"/>
          <w:color w:val="000000"/>
          <w:sz w:val="20"/>
          <w:szCs w:val="20"/>
        </w:rPr>
        <w:t>(sessenta)</w:t>
      </w:r>
      <w:r>
        <w:rPr>
          <w:rFonts w:cs="Arial" w:ascii="Arial" w:hAnsi="Arial"/>
          <w:bCs/>
          <w:iCs/>
          <w:color w:val="000000"/>
          <w:sz w:val="20"/>
          <w:szCs w:val="20"/>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1"/>
          <w:numId w:val="1"/>
        </w:numPr>
        <w:spacing w:lineRule="auto" w:line="276" w:before="120" w:after="120"/>
        <w:ind w:left="425" w:hanging="0"/>
        <w:contextualSpacing/>
        <w:jc w:val="both"/>
        <w:rPr>
          <w:i w:val="false"/>
          <w:i w:val="false"/>
          <w:iCs w:val="false"/>
          <w:color w:val="000000"/>
        </w:rPr>
      </w:pPr>
      <w:r>
        <w:rPr>
          <w:rFonts w:cs="Arial" w:ascii="Arial" w:hAnsi="Arial"/>
          <w:i w:val="false"/>
          <w:iCs w:val="false"/>
          <w:color w:val="000000"/>
          <w:sz w:val="20"/>
          <w:szCs w:val="20"/>
        </w:rPr>
        <w:t>O licitante deverá declarar, para cada item, em campo próprio do sistema COMPRASNET, se o produto ofertado é manufaturado nacional beneficiado por um dos critérios de margem de preferência indicados no Termo de Referência.</w:t>
      </w:r>
    </w:p>
    <w:p>
      <w:pPr>
        <w:pStyle w:val="ListParagraph"/>
        <w:spacing w:lineRule="auto" w:line="276" w:before="120" w:after="120"/>
        <w:ind w:left="425" w:hanging="0"/>
        <w:contextualSpacing/>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1"/>
        </w:numPr>
        <w:spacing w:lineRule="auto" w:line="276" w:before="240" w:after="120"/>
        <w:jc w:val="both"/>
        <w:rPr>
          <w:rFonts w:ascii="Arial" w:hAnsi="Arial" w:cs="Arial"/>
          <w:b/>
          <w:b/>
          <w:color w:val="000000"/>
          <w:sz w:val="20"/>
          <w:szCs w:val="20"/>
        </w:rPr>
      </w:pPr>
      <w:r>
        <w:rPr>
          <w:rFonts w:cs="Arial" w:ascii="Arial" w:hAnsi="Arial"/>
          <w:b/>
          <w:color w:val="000000"/>
          <w:sz w:val="20"/>
          <w:szCs w:val="20"/>
        </w:rPr>
        <w:t xml:space="preserve"> </w:t>
      </w:r>
      <w:r>
        <w:rPr>
          <w:rFonts w:cs="Arial" w:ascii="Arial" w:hAnsi="Arial"/>
          <w:b/>
          <w:color w:val="000000"/>
          <w:sz w:val="20"/>
          <w:szCs w:val="20"/>
        </w:rPr>
        <w:t>DA FORMULAÇÃO DOS LANCES E DO JULGAMENTO DAS PROPOSTAS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A abertura da presente licitação dar-se-á em sessão pública, por meio de sistema eletrônico, na data, horário e local indicados neste Edital.</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 xml:space="preserve">A não desclassificação da proposta não impede o seu </w:t>
      </w:r>
      <w:r>
        <w:rPr>
          <w:rFonts w:cs="Arial" w:ascii="Arial" w:hAnsi="Arial"/>
          <w:bCs/>
          <w:color w:val="000000"/>
          <w:sz w:val="20"/>
          <w:szCs w:val="20"/>
        </w:rPr>
        <w:t>julgamento definitivo em sentido contrário, levado a efeito na fase</w:t>
      </w:r>
      <w:r>
        <w:rPr>
          <w:rFonts w:cs="Arial" w:ascii="Arial" w:hAnsi="Arial"/>
          <w:color w:val="000000"/>
          <w:sz w:val="20"/>
          <w:szCs w:val="20"/>
        </w:rPr>
        <w:t xml:space="preserve"> de aceitação.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sistema disponibilizará campo próprio para troca de mensagem entre o Pregoeiro e os licitantes.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1"/>
        </w:numPr>
        <w:tabs>
          <w:tab w:val="left" w:pos="1440" w:leader="none"/>
        </w:tabs>
        <w:snapToGrid w:val="false"/>
        <w:spacing w:lineRule="auto" w:line="276" w:before="120" w:after="120"/>
        <w:ind w:left="1134" w:hanging="0"/>
        <w:jc w:val="both"/>
        <w:rPr>
          <w:color w:val="000000"/>
        </w:rPr>
      </w:pPr>
      <w:r>
        <w:rPr>
          <w:rFonts w:cs="Arial" w:ascii="Arial" w:hAnsi="Arial"/>
          <w:color w:val="000000"/>
          <w:sz w:val="20"/>
          <w:szCs w:val="20"/>
        </w:rPr>
        <w:t>O lance deverá ser ofertado pelo valor</w:t>
      </w:r>
      <w:r>
        <w:rPr>
          <w:rFonts w:cs="Arial" w:ascii="Arial" w:hAnsi="Arial"/>
          <w:i w:val="false"/>
          <w:iCs w:val="false"/>
          <w:color w:val="000000"/>
          <w:sz w:val="20"/>
          <w:szCs w:val="20"/>
        </w:rPr>
        <w:t xml:space="preserve"> total do item.</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spacing w:lineRule="auto" w:line="276" w:before="240" w:after="240"/>
        <w:ind w:left="709"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1"/>
          <w:numId w:val="1"/>
        </w:numPr>
        <w:spacing w:lineRule="auto" w:line="276" w:before="120" w:after="120"/>
        <w:contextualSpacing/>
        <w:jc w:val="both"/>
        <w:rPr/>
      </w:pPr>
      <w:r>
        <w:rPr>
          <w:rFonts w:cs="Arial" w:ascii="Arial" w:hAnsi="Arial"/>
          <w:b/>
          <w:bCs/>
          <w:i/>
          <w:color w:val="FF0000"/>
          <w:sz w:val="20"/>
          <w:szCs w:val="20"/>
          <w:u w:val="single"/>
        </w:rPr>
        <w:t>SUPRESSÃO</w:t>
      </w:r>
      <w:r>
        <w:rPr>
          <w:rFonts w:cs="Arial" w:ascii="Arial" w:hAnsi="Arial"/>
          <w:i/>
          <w:color w:val="FF0000"/>
          <w:sz w:val="20"/>
          <w:szCs w:val="20"/>
        </w:rPr>
        <w:t xml:space="preserve"> </w:t>
      </w:r>
    </w:p>
    <w:p>
      <w:pPr>
        <w:pStyle w:val="ListParagraph"/>
        <w:numPr>
          <w:ilvl w:val="1"/>
          <w:numId w:val="1"/>
        </w:numPr>
        <w:spacing w:lineRule="auto" w:line="276" w:before="120" w:after="120"/>
        <w:contextualSpacing/>
        <w:jc w:val="both"/>
        <w:rPr/>
      </w:pPr>
      <w:r>
        <w:rPr>
          <w:rFonts w:cs="Arial" w:ascii="Arial" w:hAnsi="Arial"/>
          <w:b/>
          <w:bCs/>
          <w:i/>
          <w:color w:val="FF0000"/>
          <w:sz w:val="20"/>
          <w:szCs w:val="20"/>
          <w:u w:val="single"/>
        </w:rPr>
        <w:t>SUPRESSÃO</w:t>
      </w:r>
      <w:r>
        <w:rPr>
          <w:rFonts w:cs="Arial" w:ascii="Arial" w:hAnsi="Arial"/>
          <w:i/>
          <w:color w:val="FF0000"/>
          <w:sz w:val="20"/>
          <w:szCs w:val="20"/>
        </w:rPr>
        <w:t>.</w:t>
      </w:r>
    </w:p>
    <w:p>
      <w:pPr>
        <w:pStyle w:val="ListParagraph"/>
        <w:numPr>
          <w:ilvl w:val="1"/>
          <w:numId w:val="1"/>
        </w:numPr>
        <w:spacing w:lineRule="auto" w:line="276" w:before="120" w:after="120"/>
        <w:ind w:left="425" w:hanging="0"/>
        <w:contextualSpacing/>
        <w:jc w:val="both"/>
        <w:rPr/>
      </w:pPr>
      <w:r>
        <w:rPr>
          <w:rFonts w:cs="Arial" w:ascii="Arial" w:hAnsi="Arial"/>
          <w:color w:val="000000"/>
          <w:sz w:val="20"/>
          <w:szCs w:val="20"/>
        </w:rPr>
        <w:t xml:space="preserve">O licitante somente poderá oferecer lance inferior ao último por ele ofertado e registrado pelo sistema. </w:t>
      </w:r>
    </w:p>
    <w:p>
      <w:pPr>
        <w:pStyle w:val="ListParagraph"/>
        <w:numPr>
          <w:ilvl w:val="2"/>
          <w:numId w:val="1"/>
        </w:numPr>
        <w:spacing w:lineRule="auto" w:line="276" w:before="120" w:after="120"/>
        <w:ind w:left="1134" w:hanging="0"/>
        <w:contextualSpacing/>
        <w:jc w:val="both"/>
        <w:rPr>
          <w:rFonts w:ascii="Arial" w:hAnsi="Arial" w:cs="Arial"/>
          <w:color w:val="000000"/>
          <w:sz w:val="20"/>
          <w:szCs w:val="20"/>
        </w:rPr>
      </w:pPr>
      <w:r>
        <w:rPr>
          <w:rFonts w:cs="Arial" w:ascii="Arial" w:hAnsi="Arial"/>
          <w:color w:val="000000"/>
          <w:sz w:val="20"/>
          <w:szCs w:val="20"/>
        </w:rPr>
        <w:t>O intervalo entre os lances enviados pelo mesmo licitante não poderá ser inferior a vinte (20) segundos e o intervalo entre lances não poderá ser inferior a três (3) segundos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Se a desconexão perdurar por tempo superior a 10 (dez) minutos, a sessão será suspensa e terá reinício somente após comunicação expressa do Pregoeiro aos participantes. </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Critério de julgamento adotado será o menor preço, conforme definido neste Edital e seus anexos. </w:t>
      </w:r>
    </w:p>
    <w:p>
      <w:pPr>
        <w:pStyle w:val="Normal"/>
        <w:numPr>
          <w:ilvl w:val="1"/>
          <w:numId w:val="1"/>
        </w:numPr>
        <w:spacing w:lineRule="auto" w:line="276" w:before="120" w:after="120"/>
        <w:ind w:left="425" w:hanging="0"/>
        <w:jc w:val="both"/>
        <w:rPr>
          <w:rFonts w:ascii="Arial" w:hAnsi="Arial" w:eastAsia="Zurich BT" w:cs="Arial"/>
          <w:bCs/>
          <w:sz w:val="20"/>
          <w:szCs w:val="20"/>
        </w:rPr>
      </w:pPr>
      <w:r>
        <w:rPr>
          <w:rFonts w:cs="Arial" w:ascii="Arial" w:hAnsi="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numPr>
          <w:ilvl w:val="1"/>
          <w:numId w:val="1"/>
        </w:numPr>
        <w:spacing w:lineRule="auto" w:line="276" w:before="120" w:after="120"/>
        <w:ind w:left="425" w:hanging="0"/>
        <w:jc w:val="both"/>
        <w:rPr>
          <w:rFonts w:ascii="Arial" w:hAnsi="Arial" w:eastAsia="Zurich BT" w:cs="Arial"/>
          <w:bCs/>
          <w:sz w:val="20"/>
          <w:szCs w:val="20"/>
        </w:rPr>
      </w:pP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ListParagraph"/>
        <w:numPr>
          <w:ilvl w:val="1"/>
          <w:numId w:val="1"/>
        </w:numPr>
        <w:spacing w:lineRule="auto" w:line="276" w:before="120" w:after="120"/>
        <w:contextualSpacing/>
        <w:jc w:val="both"/>
        <w:rPr/>
      </w:pPr>
      <w:bookmarkStart w:id="0" w:name="_GoBack"/>
      <w:bookmarkEnd w:id="0"/>
      <w:r>
        <w:rPr>
          <w:rFonts w:eastAsia="Zurich BT" w:cs="Arial" w:ascii="Arial" w:hAnsi="Arial"/>
          <w:b/>
          <w:bCs/>
          <w:i/>
          <w:color w:val="FF0000"/>
          <w:sz w:val="20"/>
          <w:szCs w:val="20"/>
          <w:u w:val="single"/>
        </w:rPr>
        <w:t>SUPRESSÃO</w:t>
      </w:r>
      <w:r>
        <w:rPr>
          <w:rFonts w:eastAsia="Zurich BT" w:cs="Arial" w:ascii="Arial" w:hAnsi="Arial"/>
          <w:bCs/>
          <w:i/>
          <w:color w:val="FF0000"/>
          <w:sz w:val="20"/>
          <w:szCs w:val="20"/>
        </w:rPr>
        <w:t>.</w:t>
      </w:r>
    </w:p>
    <w:p>
      <w:pPr>
        <w:pStyle w:val="ListParagraph"/>
        <w:numPr>
          <w:ilvl w:val="1"/>
          <w:numId w:val="1"/>
        </w:numPr>
        <w:spacing w:lineRule="auto" w:line="276" w:before="120" w:after="120"/>
        <w:contextualSpacing/>
        <w:jc w:val="both"/>
        <w:rPr/>
      </w:pPr>
      <w:r>
        <w:rPr>
          <w:rFonts w:cs="Arial" w:ascii="Arial" w:hAnsi="Arial"/>
          <w:b/>
          <w:bCs/>
          <w:i/>
          <w:color w:val="FF0000"/>
          <w:sz w:val="20"/>
          <w:szCs w:val="20"/>
          <w:u w:val="single"/>
        </w:rPr>
        <w:t>SUPRESSÃO</w:t>
      </w:r>
      <w:r>
        <w:rPr>
          <w:rFonts w:cs="Arial" w:ascii="Arial" w:hAnsi="Arial"/>
          <w:i/>
          <w:color w:val="FF0000"/>
          <w:sz w:val="20"/>
          <w:szCs w:val="20"/>
        </w:rPr>
        <w:t>.</w:t>
      </w:r>
    </w:p>
    <w:p>
      <w:pPr>
        <w:pStyle w:val="Normal"/>
        <w:numPr>
          <w:ilvl w:val="0"/>
          <w:numId w:val="1"/>
        </w:numPr>
        <w:spacing w:lineRule="auto" w:line="276" w:before="120" w:after="120"/>
        <w:ind w:left="0" w:hanging="0"/>
        <w:jc w:val="both"/>
        <w:rPr/>
      </w:pPr>
      <w:r>
        <w:rPr>
          <w:rFonts w:cs="Arial" w:ascii="Arial" w:hAnsi="Arial"/>
          <w:b/>
          <w:bCs/>
          <w:color w:val="000000"/>
          <w:sz w:val="20"/>
          <w:szCs w:val="20"/>
          <w:lang w:eastAsia="en-US"/>
        </w:rPr>
        <w:t>DA ACEITABILIDADE DA PROPOSTA VENCEDORA.</w:t>
      </w:r>
    </w:p>
    <w:p>
      <w:pPr>
        <w:pStyle w:val="Normal"/>
        <w:numPr>
          <w:ilvl w:val="1"/>
          <w:numId w:val="1"/>
        </w:numPr>
        <w:spacing w:lineRule="auto" w:line="276" w:before="120" w:after="120"/>
        <w:ind w:left="425" w:hanging="0"/>
        <w:jc w:val="both"/>
        <w:rPr/>
      </w:pPr>
      <w:r>
        <w:rPr>
          <w:rFonts w:cs="Arial" w:ascii="Arial" w:hAnsi="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pPr>
        <w:pStyle w:val="ListParagraph"/>
        <w:numPr>
          <w:ilvl w:val="1"/>
          <w:numId w:val="1"/>
        </w:numPr>
        <w:spacing w:lineRule="auto" w:line="276" w:before="120" w:after="120"/>
        <w:contextualSpacing/>
        <w:jc w:val="both"/>
        <w:rPr/>
      </w:pPr>
      <w:r>
        <w:rPr>
          <w:rFonts w:cs="Arial" w:ascii="Arial" w:hAnsi="Arial"/>
          <w:bCs/>
          <w:i w:val="false"/>
          <w:iCs w:val="false"/>
          <w:color w:val="000000"/>
          <w:sz w:val="20"/>
          <w:szCs w:val="20"/>
          <w:lang w:eastAsia="en-US"/>
        </w:rPr>
        <w:t>Será desclassificada a proposta ou o lance vencedor com valor superior ao preço máximo fixado ou que apresentar preço manifestamente inexequível.</w:t>
      </w:r>
    </w:p>
    <w:p>
      <w:pPr>
        <w:pStyle w:val="Normal"/>
        <w:numPr>
          <w:ilvl w:val="1"/>
          <w:numId w:val="1"/>
        </w:numPr>
        <w:spacing w:lineRule="auto" w:line="276" w:before="120" w:after="120"/>
        <w:ind w:left="425" w:hanging="0"/>
        <w:jc w:val="both"/>
        <w:rPr/>
      </w:pP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1"/>
          <w:numId w:val="1"/>
        </w:numPr>
        <w:spacing w:lineRule="auto" w:line="276" w:before="120" w:after="120"/>
        <w:ind w:left="425" w:hanging="0"/>
        <w:jc w:val="both"/>
        <w:rPr>
          <w:rFonts w:ascii="Arial" w:hAnsi="Arial" w:cs="Arial"/>
          <w:i/>
          <w:i/>
          <w:sz w:val="20"/>
          <w:szCs w:val="20"/>
          <w:lang w:eastAsia="en-US"/>
        </w:rPr>
      </w:pPr>
      <w:r>
        <w:rPr>
          <w:rFonts w:cs="Arial" w:ascii="Arial" w:hAnsi="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1"/>
          <w:numId w:val="1"/>
        </w:numPr>
        <w:spacing w:lineRule="auto" w:line="276" w:before="120" w:after="120"/>
        <w:ind w:left="425" w:hanging="0"/>
        <w:jc w:val="both"/>
        <w:rPr/>
      </w:pPr>
      <w:r>
        <w:rPr>
          <w:rFonts w:cs="Arial" w:ascii="Arial" w:hAnsi="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bCs/>
          <w:iCs/>
          <w:color w:val="000000"/>
          <w:sz w:val="20"/>
          <w:szCs w:val="20"/>
        </w:rPr>
      </w:pPr>
      <w:r>
        <w:rPr>
          <w:rFonts w:cs="Arial" w:ascii="Arial" w:hAnsi="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3"/>
          <w:numId w:val="1"/>
        </w:numPr>
        <w:tabs>
          <w:tab w:val="left" w:pos="1440" w:leader="none"/>
        </w:tabs>
        <w:snapToGrid w:val="false"/>
        <w:spacing w:lineRule="auto" w:line="276" w:before="120" w:after="120"/>
        <w:ind w:left="1701" w:hanging="0"/>
        <w:jc w:val="both"/>
        <w:rPr>
          <w:rFonts w:ascii="Arial" w:hAnsi="Arial" w:cs="Arial"/>
          <w:bCs/>
          <w:iCs/>
          <w:color w:val="000000"/>
          <w:sz w:val="20"/>
          <w:szCs w:val="20"/>
        </w:rPr>
      </w:pPr>
      <w:r>
        <w:rPr>
          <w:rFonts w:cs="Arial" w:ascii="Arial" w:hAnsi="Arial"/>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pPr>
        <w:pStyle w:val="ListParagraph"/>
        <w:numPr>
          <w:ilvl w:val="2"/>
          <w:numId w:val="1"/>
        </w:numPr>
        <w:spacing w:lineRule="auto" w:line="276" w:before="120" w:after="120"/>
        <w:contextualSpacing/>
        <w:jc w:val="both"/>
        <w:rPr/>
      </w:pPr>
      <w:r>
        <w:rPr>
          <w:rFonts w:cs="Arial" w:ascii="Arial" w:hAnsi="Arial"/>
          <w:b/>
          <w:bCs/>
          <w:i/>
          <w:iCs/>
          <w:color w:val="000000"/>
          <w:sz w:val="20"/>
          <w:szCs w:val="20"/>
          <w:u w:val="single"/>
        </w:rPr>
        <w:t xml:space="preserve"> </w:t>
      </w:r>
      <w:r>
        <w:rPr>
          <w:rFonts w:cs="Arial" w:ascii="Arial" w:hAnsi="Arial"/>
          <w:b/>
          <w:bCs/>
          <w:i/>
          <w:iCs/>
          <w:color w:val="FF0000"/>
          <w:sz w:val="20"/>
          <w:szCs w:val="20"/>
          <w:u w:val="single"/>
        </w:rPr>
        <w:t>SUPRESSÃO</w:t>
      </w:r>
      <w:r>
        <w:rPr>
          <w:rFonts w:cs="Arial" w:ascii="Arial" w:hAnsi="Arial"/>
          <w:bCs/>
          <w:i/>
          <w:iCs/>
          <w:color w:val="FF0000"/>
          <w:sz w:val="20"/>
          <w:szCs w:val="20"/>
        </w:rPr>
        <w:t>.</w:t>
      </w:r>
    </w:p>
    <w:p>
      <w:pPr>
        <w:pStyle w:val="ListParagraph"/>
        <w:numPr>
          <w:ilvl w:val="2"/>
          <w:numId w:val="1"/>
        </w:numPr>
        <w:spacing w:lineRule="auto" w:line="276" w:before="120" w:after="120"/>
        <w:contextualSpacing/>
        <w:jc w:val="both"/>
        <w:rPr/>
      </w:pPr>
      <w:r>
        <w:rPr>
          <w:rFonts w:cs="Arial" w:ascii="Arial" w:hAnsi="Arial"/>
          <w:bCs/>
          <w:i/>
          <w:iCs/>
          <w:color w:val="FF0000"/>
          <w:sz w:val="20"/>
          <w:szCs w:val="20"/>
        </w:rPr>
        <w:t xml:space="preserve"> </w:t>
      </w:r>
      <w:r>
        <w:rPr>
          <w:rFonts w:cs="Arial" w:ascii="Arial" w:hAnsi="Arial"/>
          <w:b/>
          <w:bCs/>
          <w:i/>
          <w:iCs/>
          <w:color w:val="FF0000"/>
          <w:sz w:val="20"/>
          <w:szCs w:val="20"/>
          <w:u w:val="single"/>
        </w:rPr>
        <w:t>SUPRESSÃO</w:t>
      </w:r>
      <w:r>
        <w:rPr>
          <w:rFonts w:cs="Arial" w:ascii="Arial" w:hAnsi="Arial"/>
          <w:bCs/>
          <w:i/>
          <w:iCs/>
          <w:color w:val="FF0000"/>
          <w:sz w:val="20"/>
          <w:szCs w:val="20"/>
        </w:rPr>
        <w:t>.</w:t>
      </w:r>
    </w:p>
    <w:p>
      <w:pPr>
        <w:pStyle w:val="Normal"/>
        <w:numPr>
          <w:ilvl w:val="1"/>
          <w:numId w:val="1"/>
        </w:numPr>
        <w:tabs>
          <w:tab w:val="left" w:pos="1440" w:leader="none"/>
        </w:tabs>
        <w:snapToGrid w:val="false"/>
        <w:spacing w:lineRule="auto" w:line="276" w:before="120" w:after="120"/>
        <w:jc w:val="both"/>
        <w:rPr/>
      </w:pPr>
      <w:r>
        <w:rPr>
          <w:rFonts w:cs="Arial" w:ascii="Arial" w:hAnsi="Arial"/>
          <w:b/>
          <w:bCs/>
          <w:i/>
          <w:iCs/>
          <w:color w:val="FF0000"/>
          <w:sz w:val="20"/>
          <w:szCs w:val="20"/>
          <w:u w:val="single"/>
        </w:rPr>
        <w:t>SUPRESSÃO</w:t>
      </w:r>
      <w:r>
        <w:rPr>
          <w:rFonts w:cs="Arial" w:ascii="Arial" w:hAnsi="Arial"/>
          <w:bCs/>
          <w:i/>
          <w:iCs/>
          <w:color w:val="FF0000"/>
          <w:sz w:val="20"/>
          <w:szCs w:val="20"/>
        </w:rPr>
        <w:t>.</w:t>
      </w:r>
    </w:p>
    <w:p>
      <w:pPr>
        <w:pStyle w:val="Normal"/>
        <w:numPr>
          <w:ilvl w:val="1"/>
          <w:numId w:val="1"/>
        </w:numPr>
        <w:spacing w:lineRule="auto" w:line="276" w:before="120" w:after="120"/>
        <w:ind w:left="425" w:hanging="0"/>
        <w:jc w:val="both"/>
        <w:rPr/>
      </w:pP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a nova data e horário para a continuidade da mesma.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rPr>
        <w:t>Também nas hipóteses em que o Pregoeiro não aceitar a proposta e passar à subsequente, poderá negociar com o licitante para que seja obtido preço melhor.</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negociação será realizada por meio do sistema, podendo ser acompanhada pelos demais licitantes.</w:t>
      </w:r>
    </w:p>
    <w:p>
      <w:pPr>
        <w:pStyle w:val="Normal"/>
        <w:tabs>
          <w:tab w:val="left" w:pos="1440" w:leader="none"/>
        </w:tabs>
        <w:snapToGrid w:val="false"/>
        <w:spacing w:lineRule="auto" w:line="276" w:before="0" w:after="120"/>
        <w:ind w:left="1134" w:right="-17"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lang w:eastAsia="en-US"/>
        </w:rPr>
        <w:t xml:space="preserve">DA HABILITAÇÃO </w:t>
      </w:r>
    </w:p>
    <w:p>
      <w:pPr>
        <w:pStyle w:val="ListParagraph"/>
        <w:numPr>
          <w:ilvl w:val="1"/>
          <w:numId w:val="1"/>
        </w:numPr>
        <w:spacing w:lineRule="auto" w:line="276" w:before="120" w:after="120"/>
        <w:ind w:left="425" w:hanging="0"/>
        <w:contextualSpacing/>
        <w:jc w:val="both"/>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2"/>
          <w:numId w:val="1"/>
        </w:numPr>
        <w:spacing w:lineRule="auto" w:line="276" w:before="120" w:after="120"/>
        <w:ind w:left="1134" w:hanging="0"/>
        <w:contextualSpacing/>
        <w:jc w:val="both"/>
        <w:rPr>
          <w:rFonts w:ascii="Arial" w:hAnsi="Arial" w:cs="Arial"/>
          <w:sz w:val="20"/>
          <w:szCs w:val="20"/>
        </w:rPr>
      </w:pPr>
      <w:r>
        <w:rPr>
          <w:rFonts w:cs="Arial" w:ascii="Arial" w:hAnsi="Arial"/>
          <w:sz w:val="20"/>
          <w:szCs w:val="20"/>
        </w:rPr>
        <w:t>SICAF;</w:t>
      </w:r>
    </w:p>
    <w:p>
      <w:pPr>
        <w:pStyle w:val="ListParagraph"/>
        <w:numPr>
          <w:ilvl w:val="2"/>
          <w:numId w:val="1"/>
        </w:numPr>
        <w:spacing w:lineRule="auto" w:line="276" w:before="120" w:after="120"/>
        <w:ind w:left="1134" w:hanging="0"/>
        <w:contextualSpacing/>
        <w:jc w:val="both"/>
        <w:rPr/>
      </w:pPr>
      <w:r>
        <w:rPr>
          <w:rFonts w:cs="Arial" w:ascii="Arial" w:hAnsi="Arial"/>
          <w:sz w:val="20"/>
          <w:szCs w:val="20"/>
        </w:rPr>
        <w:t>Cadastro Nacional de Empresas Inidôneas e Suspensas – CEIS, mantido pela Controladoria-Geral da União (</w:t>
      </w:r>
      <w:hyperlink r:id="rId2">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2"/>
          <w:numId w:val="1"/>
        </w:numPr>
        <w:spacing w:lineRule="auto" w:line="276" w:before="120" w:after="120"/>
        <w:ind w:left="1134" w:hanging="0"/>
        <w:contextualSpacing/>
        <w:jc w:val="both"/>
        <w:rPr/>
      </w:pPr>
      <w:r>
        <w:rPr>
          <w:rFonts w:cs="Arial" w:ascii="Arial" w:hAnsi="Arial"/>
          <w:bCs/>
          <w:sz w:val="20"/>
          <w:szCs w:val="20"/>
        </w:rPr>
        <w:t>Cadastro Nacional de Condenações Cíveis por Atos de Improbidade Administrativa, mantido pelo Conselho Nacional de Justiça</w:t>
      </w:r>
      <w:r>
        <w:rPr>
          <w:rFonts w:cs="Arial" w:ascii="Arial" w:hAnsi="Arial"/>
          <w:sz w:val="20"/>
          <w:szCs w:val="20"/>
        </w:rPr>
        <w:t xml:space="preserve"> (</w:t>
      </w:r>
      <w:hyperlink r:id="rId3">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2"/>
          <w:numId w:val="1"/>
        </w:numPr>
        <w:spacing w:lineRule="auto" w:line="276" w:before="120" w:after="120"/>
        <w:ind w:left="1134" w:hanging="0"/>
        <w:contextualSpacing/>
        <w:jc w:val="both"/>
        <w:rPr>
          <w:rFonts w:ascii="Arial" w:hAnsi="Arial" w:cs="Arial"/>
          <w:sz w:val="20"/>
          <w:szCs w:val="20"/>
        </w:rPr>
      </w:pPr>
      <w:r>
        <w:rPr>
          <w:rFonts w:cs="Arial" w:ascii="Arial" w:hAnsi="Arial"/>
          <w:sz w:val="20"/>
          <w:szCs w:val="20"/>
        </w:rPr>
        <w:t>Lista de Inidôneos, mantida pelo Tribunal de Contas da União – TCU;</w:t>
      </w:r>
    </w:p>
    <w:p>
      <w:pPr>
        <w:pStyle w:val="ListParagraph"/>
        <w:numPr>
          <w:ilvl w:val="2"/>
          <w:numId w:val="1"/>
        </w:numPr>
        <w:spacing w:lineRule="auto" w:line="276" w:before="120" w:after="120"/>
        <w:ind w:left="1134" w:hanging="0"/>
        <w:contextualSpacing/>
        <w:jc w:val="both"/>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Constatada a existência de sanção, o Pregoeiro reputará o licitante inabilitado, por falta de condição de participação.</w:t>
      </w:r>
    </w:p>
    <w:p>
      <w:pPr>
        <w:pStyle w:val="Normal"/>
        <w:numPr>
          <w:ilvl w:val="1"/>
          <w:numId w:val="1"/>
        </w:numPr>
        <w:spacing w:lineRule="auto" w:line="276" w:before="120" w:after="120"/>
        <w:ind w:left="425" w:hanging="0"/>
        <w:jc w:val="both"/>
        <w:rPr/>
      </w:pPr>
      <w:r>
        <w:rPr>
          <w:rFonts w:cs="Arial" w:ascii="Arial" w:hAnsi="Arial"/>
          <w:bCs/>
          <w:color w:val="000000"/>
          <w:sz w:val="20"/>
          <w:szCs w:val="20"/>
        </w:rPr>
        <w:t>Os licitantes, deverão apresentar a seguinte documentação relativa à Habilitação Jurídica, Regularidade Fiscal e trabalhista:</w:t>
      </w:r>
    </w:p>
    <w:p>
      <w:pPr>
        <w:pStyle w:val="Normal"/>
        <w:numPr>
          <w:ilvl w:val="1"/>
          <w:numId w:val="1"/>
        </w:numPr>
        <w:spacing w:lineRule="auto" w:line="276" w:before="0" w:after="120"/>
        <w:ind w:left="0" w:right="-17" w:firstLine="567"/>
        <w:jc w:val="both"/>
        <w:rPr>
          <w:rFonts w:ascii="Arial" w:hAnsi="Arial" w:cs="Arial"/>
          <w:b/>
          <w:b/>
          <w:bCs/>
          <w:color w:val="000000"/>
          <w:sz w:val="20"/>
          <w:szCs w:val="20"/>
        </w:rPr>
      </w:pPr>
      <w:r>
        <w:rPr>
          <w:rFonts w:cs="Arial" w:ascii="Arial" w:hAnsi="Arial"/>
          <w:b/>
          <w:bCs/>
          <w:color w:val="000000"/>
          <w:sz w:val="20"/>
          <w:szCs w:val="20"/>
        </w:rPr>
        <w:t xml:space="preserve">Habilitação jurídica: </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Em se tratando de microempreendedor individual – MEI: Certificado da Condição de Microempreendedor Individual - CCMEIcuja aceitação ficará condicionada à verificação da autenticidade no sítio www.portaldoempreendedor.gov.br;</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1"/>
        </w:numPr>
        <w:spacing w:lineRule="auto" w:line="276" w:before="120" w:after="120"/>
        <w:ind w:left="1134" w:hanging="0"/>
        <w:contextualSpacing/>
        <w:jc w:val="both"/>
        <w:rPr/>
      </w:pPr>
      <w:r>
        <w:rPr>
          <w:rFonts w:cs="Arial" w:ascii="Arial" w:hAnsi="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1"/>
        </w:numPr>
        <w:spacing w:lineRule="auto" w:line="276" w:before="120" w:after="120"/>
        <w:ind w:left="1134" w:hanging="0"/>
        <w:contextualSpacing/>
        <w:jc w:val="both"/>
        <w:rPr>
          <w:rFonts w:ascii="Arial" w:hAnsi="Arial" w:cs="Arial"/>
          <w:bCs/>
          <w:sz w:val="20"/>
          <w:szCs w:val="20"/>
        </w:rPr>
      </w:pPr>
      <w:r>
        <w:rPr>
          <w:rFonts w:cs="Arial" w:ascii="Arial" w:hAnsi="Arial"/>
          <w:bCs/>
          <w:sz w:val="20"/>
          <w:szCs w:val="20"/>
        </w:rPr>
        <w:t>No caso de agricultor familiar: Declaração de Aptidão ao Pronaf – DAP ou DAP-P válida, ou, ainda, outros documentos definidos pelo Ministério do Desenvolvimento Social, nos termos do art. 4º, §2º do Decreto n. 7.775, de 2012.</w:t>
      </w:r>
    </w:p>
    <w:p>
      <w:pPr>
        <w:pStyle w:val="ListParagraph"/>
        <w:numPr>
          <w:ilvl w:val="2"/>
          <w:numId w:val="1"/>
        </w:numPr>
        <w:spacing w:lineRule="auto" w:line="276" w:before="120" w:after="120"/>
        <w:ind w:left="1134" w:hanging="0"/>
        <w:contextualSpacing/>
        <w:jc w:val="both"/>
        <w:rPr>
          <w:rFonts w:ascii="Arial" w:hAnsi="Arial" w:cs="Arial"/>
          <w:bCs/>
          <w:color w:val="000000"/>
          <w:sz w:val="20"/>
          <w:szCs w:val="20"/>
        </w:rPr>
      </w:pPr>
      <w:r>
        <w:rPr>
          <w:rFonts w:cs="Arial" w:ascii="Arial" w:hAnsi="Arial"/>
          <w:bCs/>
          <w:sz w:val="20"/>
          <w:szCs w:val="20"/>
        </w:rPr>
        <w:t>No caso de produtor rural: matrícula no Cadastro Específico do INSS – CEI, que comprove a qualificação como produtor rural pessoa física, nos termos da Instrução Normativa RFB n. 971, de 2009 (arts. 17 a 19 e 165).</w:t>
      </w:r>
    </w:p>
    <w:p>
      <w:pPr>
        <w:pStyle w:val="ListParagraph"/>
        <w:widowControl/>
        <w:numPr>
          <w:ilvl w:val="2"/>
          <w:numId w:val="1"/>
        </w:numPr>
        <w:bidi w:val="0"/>
        <w:spacing w:lineRule="auto" w:line="276" w:before="120" w:after="120"/>
        <w:ind w:left="1361" w:right="0" w:hanging="227"/>
        <w:contextualSpacing/>
        <w:jc w:val="both"/>
        <w:rPr/>
      </w:pPr>
      <w:r>
        <w:rPr>
          <w:rFonts w:cs="Arial" w:ascii="Arial" w:hAnsi="Arial"/>
          <w:b/>
          <w:bCs/>
          <w:i/>
          <w:color w:val="FF0000"/>
          <w:sz w:val="20"/>
          <w:szCs w:val="20"/>
          <w:u w:val="single"/>
        </w:rPr>
        <w:t xml:space="preserve">SUPRESSÃO </w:t>
      </w:r>
    </w:p>
    <w:p>
      <w:pPr>
        <w:pStyle w:val="ListParagraph"/>
        <w:numPr>
          <w:ilvl w:val="2"/>
          <w:numId w:val="1"/>
        </w:numPr>
        <w:spacing w:lineRule="auto" w:line="276" w:before="120" w:after="120"/>
        <w:ind w:left="1134" w:hanging="0"/>
        <w:contextualSpacing/>
        <w:jc w:val="both"/>
        <w:rPr/>
      </w:pPr>
      <w:r>
        <w:rPr>
          <w:rFonts w:cs="Arial" w:ascii="Arial" w:hAnsi="Arial"/>
          <w:bCs/>
          <w:color w:val="000000"/>
          <w:sz w:val="20"/>
          <w:szCs w:val="20"/>
        </w:rPr>
        <w:t>Os documentos acima deverão estar acompanhados de todas as alterações ou da consolidação respectiva;</w:t>
      </w:r>
    </w:p>
    <w:p>
      <w:pPr>
        <w:pStyle w:val="Normal"/>
        <w:numPr>
          <w:ilvl w:val="1"/>
          <w:numId w:val="1"/>
        </w:numPr>
        <w:spacing w:lineRule="auto" w:line="276" w:before="120" w:after="120"/>
        <w:ind w:left="425" w:hanging="0"/>
        <w:jc w:val="both"/>
        <w:rPr>
          <w:rFonts w:ascii="Arial" w:hAnsi="Arial" w:cs="Arial"/>
          <w:b/>
          <w:b/>
          <w:bCs/>
          <w:color w:val="000000"/>
          <w:sz w:val="20"/>
          <w:szCs w:val="20"/>
        </w:rPr>
      </w:pPr>
      <w:r>
        <w:rPr>
          <w:rFonts w:cs="Arial" w:ascii="Arial" w:hAnsi="Arial"/>
          <w:b/>
          <w:bCs/>
          <w:color w:val="000000"/>
          <w:sz w:val="20"/>
          <w:szCs w:val="20"/>
        </w:rPr>
        <w:t>Regularidade fiscal e trabalhista:</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lang w:eastAsia="en-US"/>
        </w:rPr>
        <w:t>prova de inscrição no Cadastro Nacional de Pessoas Jurídicas ou no Cadastro de Pessoas Físicas, conforme o caso;</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lang w:eastAsia="en-US"/>
        </w:rPr>
        <w:t>prova de regularidade com o Fundo de Garantia do Tempo de Serviço (FGTS);</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ListParagraph"/>
        <w:numPr>
          <w:ilvl w:val="1"/>
          <w:numId w:val="1"/>
        </w:numPr>
        <w:spacing w:lineRule="auto" w:line="276" w:before="120" w:after="120"/>
        <w:ind w:left="425" w:hanging="0"/>
        <w:contextualSpacing/>
        <w:jc w:val="both"/>
        <w:rPr>
          <w:rFonts w:ascii="Arial" w:hAnsi="Arial" w:cs="Arial"/>
          <w:b/>
          <w:b/>
          <w:bCs/>
          <w:iCs/>
          <w:color w:val="7030A0"/>
          <w:sz w:val="20"/>
          <w:szCs w:val="20"/>
          <w:u w:val="single"/>
        </w:rPr>
      </w:pPr>
      <w:r>
        <w:rPr>
          <w:rFonts w:cs="Arial" w:ascii="Arial" w:hAnsi="Arial"/>
          <w:b/>
          <w:color w:val="000000"/>
          <w:sz w:val="20"/>
          <w:szCs w:val="20"/>
        </w:rPr>
        <w:t>Qualificação Econômico-Financeira</w:t>
      </w:r>
      <w:r>
        <w:rPr>
          <w:rFonts w:cs="Arial" w:ascii="Arial" w:hAnsi="Arial"/>
          <w:color w:val="000000"/>
          <w:sz w:val="20"/>
          <w:szCs w:val="20"/>
        </w:rPr>
        <w:t xml:space="preserve">, </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rPr>
        <w:t>certidão negativa de falência  expedida pelo distribuidor da sede da pessoa jurídica;</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3"/>
          <w:numId w:val="1"/>
        </w:numPr>
        <w:spacing w:lineRule="auto" w:line="276" w:before="120" w:after="120"/>
        <w:ind w:left="1701" w:hanging="0"/>
        <w:contextualSpacing/>
        <w:jc w:val="both"/>
        <w:rPr>
          <w:rFonts w:ascii="Arial" w:hAnsi="Arial" w:cs="Arial"/>
          <w:color w:val="000000"/>
          <w:sz w:val="20"/>
          <w:szCs w:val="20"/>
          <w:lang w:eastAsia="en-US"/>
        </w:rPr>
      </w:pPr>
      <w:r>
        <w:rPr>
          <w:rFonts w:cs="Arial" w:ascii="Arial" w:hAnsi="Arial"/>
          <w:bCs/>
          <w:iCs/>
          <w:color w:val="000000"/>
          <w:sz w:val="20"/>
          <w:szCs w:val="20"/>
        </w:rPr>
        <w:t>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numPr>
          <w:ilvl w:val="3"/>
          <w:numId w:val="1"/>
        </w:numPr>
        <w:spacing w:lineRule="auto" w:line="276" w:before="120" w:after="120"/>
        <w:ind w:left="1701" w:hanging="0"/>
        <w:contextualSpacing/>
        <w:jc w:val="both"/>
        <w:rPr>
          <w:rFonts w:ascii="Arial" w:hAnsi="Arial" w:cs="Arial"/>
          <w:color w:val="000000"/>
          <w:sz w:val="20"/>
          <w:szCs w:val="20"/>
        </w:rPr>
      </w:pPr>
      <w:r>
        <w:rPr>
          <w:rFonts w:cs="Arial" w:ascii="Arial" w:hAnsi="Arial"/>
          <w:color w:val="000000"/>
          <w:sz w:val="20"/>
          <w:szCs w:val="20"/>
          <w:lang w:eastAsia="en-US"/>
        </w:rPr>
        <w:t>no caso de empresa constituída no exercício social vigente, admite-se a apresentação de balanço patrimoni</w:t>
      </w:r>
      <w:r>
        <w:rPr>
          <w:rFonts w:cs="Arial" w:ascii="Arial" w:hAnsi="Arial"/>
          <w:color w:val="000000"/>
          <w:sz w:val="20"/>
          <w:szCs w:val="20"/>
          <w:lang w:eastAsia="en-US" w:bidi="pt-BR"/>
        </w:rPr>
        <w:t>al e demonstrações con</w:t>
      </w:r>
      <w:r>
        <w:rPr>
          <w:rFonts w:cs="Arial" w:ascii="Arial" w:hAnsi="Arial"/>
          <w:color w:val="000000"/>
          <w:sz w:val="20"/>
          <w:szCs w:val="20"/>
          <w:lang w:eastAsia="en-US"/>
        </w:rPr>
        <w:t>tábeis referentes ao período de existência da sociedade;</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6487" w:type="dxa"/>
        <w:jc w:val="left"/>
        <w:tblInd w:w="1133" w:type="dxa"/>
        <w:tblCellMar>
          <w:top w:w="0" w:type="dxa"/>
          <w:left w:w="12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eastAsia="ＭＳ 明朝" w:cs="Arial" w:ascii="Arial" w:hAnsi="Arial"/>
                <w:color w:val="000000"/>
                <w:sz w:val="20"/>
                <w:szCs w:val="20"/>
                <w:lang w:eastAsia="en-US"/>
              </w:rPr>
              <w:t>LG =</w:t>
            </w:r>
          </w:p>
        </w:tc>
        <w:tc>
          <w:tcPr>
            <w:tcW w:w="4252" w:type="dxa"/>
            <w:tcBorders>
              <w:top w:val="nil"/>
              <w:left w:val="nil"/>
              <w:right w:val="nil"/>
              <w:insideV w:val="nil"/>
            </w:tcBorders>
            <w:shd w:fill="auto" w:val="clear"/>
            <w:vAlign w:val="bottom"/>
          </w:tcPr>
          <w:p>
            <w:pPr>
              <w:pStyle w:val="Normal"/>
              <w:tabs>
                <w:tab w:val="left" w:pos="1440" w:leader="none"/>
              </w:tabs>
              <w:snapToGrid w:val="false"/>
              <w:rPr>
                <w:rFonts w:ascii="Arial" w:hAnsi="Arial" w:cs="Arial"/>
                <w:color w:val="000000"/>
                <w:sz w:val="20"/>
                <w:szCs w:val="20"/>
              </w:rPr>
            </w:pPr>
            <w:r>
              <w:rPr>
                <w:rFonts w:eastAsia="ＭＳ 明朝" w:cs="Arial" w:ascii="Arial" w:hAnsi="Arial"/>
                <w:color w:val="000000"/>
                <w:sz w:val="20"/>
                <w:szCs w:val="20"/>
                <w:lang w:eastAsia="en-US"/>
              </w:rPr>
              <w:t>Ativo Circulante + Realizável a Longo Prazo</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4252" w:type="dxa"/>
            <w:tcBorders>
              <w:top w:val="nil"/>
              <w:left w:val="nil"/>
              <w:bottom w:val="nil"/>
              <w:right w:val="nil"/>
              <w:insideH w:val="nil"/>
              <w:insideV w:val="nil"/>
            </w:tcBorders>
            <w:shd w:fill="auto" w:val="clear"/>
          </w:tcPr>
          <w:p>
            <w:pPr>
              <w:pStyle w:val="Normal"/>
              <w:tabs>
                <w:tab w:val="left" w:pos="1440" w:leader="none"/>
              </w:tabs>
              <w:snapToGrid w:val="false"/>
              <w:rPr>
                <w:rFonts w:ascii="Arial" w:hAnsi="Arial" w:cs="Arial"/>
                <w:color w:val="000000"/>
                <w:sz w:val="20"/>
                <w:szCs w:val="20"/>
              </w:rPr>
            </w:pPr>
            <w:r>
              <w:rPr>
                <w:rFonts w:eastAsia="ＭＳ 明朝" w:cs="Arial" w:ascii="Arial" w:hAnsi="Arial"/>
                <w:color w:val="000000"/>
                <w:sz w:val="20"/>
                <w:szCs w:val="20"/>
                <w:lang w:eastAsia="en-US"/>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3" w:type="dxa"/>
        <w:tblCellMar>
          <w:top w:w="0" w:type="dxa"/>
          <w:left w:w="128"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eastAsia="ＭＳ 明朝" w:cs="Arial" w:ascii="Arial" w:hAnsi="Arial"/>
                <w:color w:val="000000"/>
                <w:sz w:val="20"/>
                <w:szCs w:val="20"/>
                <w:lang w:eastAsia="en-US"/>
              </w:rPr>
              <w:t>SG =</w:t>
            </w:r>
          </w:p>
        </w:tc>
        <w:tc>
          <w:tcPr>
            <w:tcW w:w="4394"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eastAsia="ＭＳ 明朝" w:cs="Arial" w:ascii="Arial" w:hAnsi="Arial"/>
                <w:color w:val="000000"/>
                <w:sz w:val="20"/>
                <w:szCs w:val="20"/>
                <w:lang w:eastAsia="en-US"/>
              </w:rPr>
              <w:t>Ativo Total</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4394"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eastAsia="ＭＳ 明朝" w:cs="Arial" w:ascii="Arial" w:hAnsi="Arial"/>
                <w:color w:val="000000"/>
                <w:sz w:val="20"/>
                <w:szCs w:val="20"/>
                <w:lang w:eastAsia="en-US"/>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3" w:type="dxa"/>
        <w:tblCellMar>
          <w:top w:w="0" w:type="dxa"/>
          <w:left w:w="12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eastAsia="ＭＳ 明朝" w:cs="Arial" w:ascii="Arial" w:hAnsi="Arial"/>
                <w:color w:val="000000"/>
                <w:sz w:val="20"/>
                <w:szCs w:val="20"/>
                <w:lang w:eastAsia="en-US"/>
              </w:rPr>
              <w:t>LC =</w:t>
            </w:r>
          </w:p>
        </w:tc>
        <w:tc>
          <w:tcPr>
            <w:tcW w:w="2550"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eastAsia="ＭＳ 明朝" w:cs="Arial" w:ascii="Arial" w:hAnsi="Arial"/>
                <w:color w:val="000000"/>
                <w:sz w:val="20"/>
                <w:szCs w:val="20"/>
                <w:lang w:eastAsia="en-US"/>
              </w:rPr>
              <w:t>Ativo Circulante</w:t>
            </w:r>
          </w:p>
        </w:tc>
      </w:tr>
      <w:tr>
        <w:trPr/>
        <w:tc>
          <w:tcPr>
            <w:tcW w:w="2235"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2550"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eastAsia="ＭＳ 明朝" w:cs="Arial" w:ascii="Arial" w:hAnsi="Arial"/>
                <w:color w:val="000000"/>
                <w:sz w:val="20"/>
                <w:szCs w:val="20"/>
                <w:lang w:eastAsia="en-US"/>
              </w:rPr>
              <w:t>Passivo Circulante</w:t>
            </w:r>
          </w:p>
        </w:tc>
      </w:tr>
    </w:tbl>
    <w:p>
      <w:pPr>
        <w:pStyle w:val="Normal"/>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bCs/>
          <w:sz w:val="20"/>
          <w:szCs w:val="20"/>
        </w:rPr>
        <w:t xml:space="preserve">As empresas, cadastradas ou não no SICAF,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w:t>
      </w:r>
      <w:r>
        <w:rPr>
          <w:rFonts w:cs="Arial" w:ascii="Arial" w:hAnsi="Arial"/>
          <w:sz w:val="20"/>
          <w:szCs w:val="20"/>
          <w:lang w:eastAsia="en-US"/>
        </w:rPr>
        <w:t>patrimônio líquido de 10 % ((dez por cento)</w:t>
      </w:r>
      <w:r>
        <w:rPr>
          <w:rFonts w:cs="Arial" w:ascii="Arial" w:hAnsi="Arial"/>
          <w:bCs/>
          <w:sz w:val="20"/>
          <w:szCs w:val="20"/>
        </w:rPr>
        <w:t xml:space="preserve"> do valor estimado da contratação ou do item pertinente</w:t>
      </w:r>
      <w:r>
        <w:rPr>
          <w:rFonts w:cs="Arial" w:ascii="Arial" w:hAnsi="Arial"/>
          <w:sz w:val="20"/>
          <w:szCs w:val="20"/>
          <w:lang w:eastAsia="en-US"/>
        </w:rPr>
        <w:t>.</w:t>
      </w:r>
    </w:p>
    <w:p>
      <w:pPr>
        <w:pStyle w:val="ListParagraph"/>
        <w:numPr>
          <w:ilvl w:val="1"/>
          <w:numId w:val="1"/>
        </w:numPr>
        <w:spacing w:lineRule="auto" w:line="276" w:before="120" w:after="120"/>
        <w:ind w:left="425" w:hanging="0"/>
        <w:contextualSpacing/>
        <w:jc w:val="both"/>
        <w:rPr/>
      </w:pPr>
      <w:r>
        <w:rPr>
          <w:rFonts w:cs="Arial" w:ascii="Arial" w:hAnsi="Arial"/>
          <w:bCs/>
          <w:iCs/>
          <w:color w:val="000000"/>
          <w:sz w:val="20"/>
          <w:szCs w:val="20"/>
        </w:rPr>
        <w:t xml:space="preserve">As empresas, deverão comprovar, ainda, a qualificação técnica, por meio de: </w:t>
      </w:r>
    </w:p>
    <w:p>
      <w:pPr>
        <w:pStyle w:val="Normal"/>
        <w:numPr>
          <w:ilvl w:val="2"/>
          <w:numId w:val="1"/>
        </w:numPr>
        <w:tabs>
          <w:tab w:val="left" w:pos="1440" w:leader="none"/>
        </w:tabs>
        <w:snapToGrid w:val="false"/>
        <w:spacing w:lineRule="auto" w:line="276" w:before="120" w:after="120"/>
        <w:ind w:left="1134" w:hanging="0"/>
        <w:jc w:val="both"/>
        <w:rPr>
          <w:i w:val="false"/>
          <w:i w:val="false"/>
          <w:iCs w:val="false"/>
          <w:color w:val="000000"/>
        </w:rPr>
      </w:pPr>
      <w:r>
        <w:rPr>
          <w:rFonts w:cs="Arial" w:ascii="Arial" w:hAnsi="Arial"/>
          <w:i w:val="false"/>
          <w:iCs w:val="false"/>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b/>
          <w:bCs/>
          <w:i/>
          <w:color w:val="FF0000"/>
          <w:sz w:val="20"/>
          <w:szCs w:val="20"/>
        </w:rPr>
        <w:t>SUPRESSÃO</w:t>
      </w:r>
      <w:r>
        <w:rPr>
          <w:rFonts w:cs="Arial" w:ascii="Arial" w:hAnsi="Arial"/>
          <w:bCs/>
          <w:i/>
          <w:color w:val="FF0000"/>
          <w:sz w:val="20"/>
          <w:szCs w:val="20"/>
        </w:rPr>
        <w:t xml:space="preserve"> </w:t>
      </w:r>
    </w:p>
    <w:p>
      <w:pPr>
        <w:pStyle w:val="ListParagraph"/>
        <w:numPr>
          <w:ilvl w:val="1"/>
          <w:numId w:val="1"/>
        </w:numPr>
        <w:tabs>
          <w:tab w:val="left" w:pos="1418" w:leader="none"/>
        </w:tabs>
        <w:snapToGrid w:val="false"/>
        <w:spacing w:lineRule="auto" w:line="276" w:before="120" w:after="120"/>
        <w:ind w:left="426" w:hanging="6"/>
        <w:contextualSpacing/>
        <w:jc w:val="both"/>
        <w:rPr/>
      </w:pP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1"/>
          <w:numId w:val="1"/>
        </w:numPr>
        <w:spacing w:lineRule="auto" w:line="276" w:before="120" w:after="120"/>
        <w:ind w:left="426" w:hanging="0"/>
        <w:contextualSpacing/>
        <w:jc w:val="both"/>
        <w:rPr/>
      </w:pPr>
      <w:r>
        <w:rPr>
          <w:rFonts w:cs="Arial" w:ascii="Arial" w:hAnsi="Arial"/>
          <w:bCs/>
          <w:color w:val="000000"/>
          <w:sz w:val="20"/>
          <w:szCs w:val="20"/>
        </w:rPr>
        <w:t xml:space="preserve">Os documentos exigidos para habilitação relacionados nos subitens acima, deverão ser apresentados em meio digital pelos licitantes, por meio de funcionalidade presente no sistema (upload), no prazo de 05 (cinco) dias, após solicitação do Pregoeiro no sistema eletrônico.  Somente mediante autorização do Pregoeiro e em caso de indisponibilidade do sistema, será aceito o envio da documentação por meio do </w:t>
      </w:r>
      <w:r>
        <w:rPr>
          <w:rFonts w:cs="Arial" w:ascii="Arial" w:hAnsi="Arial"/>
          <w:b/>
          <w:bCs/>
          <w:color w:val="000000"/>
          <w:sz w:val="20"/>
          <w:szCs w:val="20"/>
          <w:u w:val="single"/>
        </w:rPr>
        <w:t>e-mail colic.ifs@gmail.com</w:t>
      </w:r>
      <w:r>
        <w:rPr>
          <w:rFonts w:cs="Arial" w:ascii="Arial" w:hAnsi="Arial"/>
          <w:bCs/>
          <w:color w:val="000000"/>
          <w:sz w:val="20"/>
          <w:szCs w:val="20"/>
        </w:rPr>
        <w:t>.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05 (cinco), após encerrado o prazo para o encaminhamento via funcionalidade do sistema (upload) ou e-mail.</w:t>
      </w:r>
    </w:p>
    <w:p>
      <w:pPr>
        <w:pStyle w:val="ListParagraph"/>
        <w:numPr>
          <w:ilvl w:val="2"/>
          <w:numId w:val="1"/>
        </w:numPr>
        <w:spacing w:lineRule="auto" w:line="276" w:before="120" w:after="120"/>
        <w:ind w:left="1134" w:hanging="0"/>
        <w:contextualSpacing/>
        <w:jc w:val="both"/>
        <w:rPr/>
      </w:pPr>
      <w:r>
        <w:rPr>
          <w:rFonts w:cs="Arial" w:ascii="Arial" w:hAnsi="Arial"/>
          <w:bCs/>
          <w:sz w:val="20"/>
          <w:szCs w:val="20"/>
        </w:rPr>
        <w:t>Não serão aceitos documentos com indicação de CNPJ/CPF diferentes, salvo aqueles legalmente permitidos.</w:t>
      </w:r>
    </w:p>
    <w:p>
      <w:pPr>
        <w:pStyle w:val="ListParagraph"/>
        <w:widowControl/>
        <w:numPr>
          <w:ilvl w:val="2"/>
          <w:numId w:val="1"/>
        </w:numPr>
        <w:bidi w:val="0"/>
        <w:spacing w:lineRule="auto" w:line="276" w:before="120" w:after="120"/>
        <w:ind w:left="1361" w:right="0" w:hanging="227"/>
        <w:contextualSpacing/>
        <w:jc w:val="both"/>
        <w:rPr/>
      </w:pPr>
      <w:r>
        <w:rPr>
          <w:rFonts w:cs="Arial" w:ascii="Arial" w:hAnsi="Arial"/>
          <w:b/>
          <w:bCs/>
          <w:sz w:val="20"/>
          <w:szCs w:val="20"/>
        </w:rPr>
        <w:t>Quando os documentos forem enviados pelos sistema (upload) não será necessário o envio posterior dos documentos pelos correios.</w:t>
      </w:r>
    </w:p>
    <w:p>
      <w:pPr>
        <w:pStyle w:val="Normal"/>
        <w:numPr>
          <w:ilvl w:val="1"/>
          <w:numId w:val="1"/>
        </w:numPr>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t xml:space="preserve">Em relação às empresas cadastradas no Sistema de Cadastro Unificado de Fornecedores – SICAF, o Pregoeiro consultará o referido Sistema em relação à habilitação jurídica, à regularidade fiscal e trabalhista segundo o disposto nos arts. 4º, </w:t>
      </w:r>
      <w:r>
        <w:rPr>
          <w:rFonts w:cs="Arial" w:ascii="Arial" w:hAnsi="Arial"/>
          <w:bCs/>
          <w:i/>
          <w:color w:val="000000"/>
          <w:sz w:val="20"/>
          <w:szCs w:val="20"/>
        </w:rPr>
        <w:t>caput</w:t>
      </w:r>
      <w:r>
        <w:rPr>
          <w:rFonts w:cs="Arial" w:ascii="Arial" w:hAnsi="Arial"/>
          <w:bCs/>
          <w:color w:val="000000"/>
          <w:sz w:val="20"/>
          <w:szCs w:val="20"/>
        </w:rPr>
        <w:t>, 8º, § 3º, 13, 14 e 43, III, da Instrução Normativa SLTI/MPOG nº 2, de 2010.</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rPr>
        <w:t xml:space="preserve">Também poderão ser consultados </w:t>
      </w:r>
      <w:r>
        <w:rPr>
          <w:rFonts w:cs="Arial" w:ascii="Arial" w:hAnsi="Arial"/>
          <w:bCs/>
          <w:color w:val="000000"/>
          <w:sz w:val="20"/>
          <w:szCs w:val="20"/>
        </w:rPr>
        <w:t xml:space="preserve">os sítios oficiais emissores de certidões, especialmente quando </w:t>
      </w:r>
      <w:r>
        <w:rPr>
          <w:rFonts w:cs="Arial" w:ascii="Arial" w:hAnsi="Arial"/>
          <w:color w:val="000000"/>
          <w:sz w:val="20"/>
          <w:szCs w:val="20"/>
        </w:rPr>
        <w:t>o(s) licitante(s) esteja(m) com alguma documentação vencida junto ao SICAF</w:t>
      </w:r>
      <w:r>
        <w:rPr>
          <w:rFonts w:cs="Arial" w:ascii="Arial" w:hAnsi="Arial"/>
          <w:bCs/>
          <w:color w:val="000000"/>
          <w:sz w:val="20"/>
          <w:szCs w:val="20"/>
        </w:rPr>
        <w:t>.</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sz w:val="20"/>
          <w:szCs w:val="20"/>
        </w:rPr>
        <w:t>Caso o Pregoeiro não logre êxito em obter a certidão correspondente através do sítio oficial, ou na hipótese de se encontrar vencida no referido sistema</w:t>
      </w:r>
      <w:r>
        <w:rPr>
          <w:rFonts w:cs="Arial" w:ascii="Arial" w:hAnsi="Arial"/>
          <w:b/>
          <w:sz w:val="20"/>
          <w:szCs w:val="20"/>
          <w:u w:val="single"/>
        </w:rPr>
        <w:t>,</w:t>
      </w:r>
      <w:r>
        <w:rPr>
          <w:rFonts w:cs="Arial" w:ascii="Arial" w:hAnsi="Arial"/>
          <w:sz w:val="20"/>
          <w:szCs w:val="20"/>
        </w:rPr>
        <w:t xml:space="preserve"> o licitante será convocado a encaminhar, no prazo de 02 (duas)</w:t>
      </w:r>
      <w:r>
        <w:rPr>
          <w:rFonts w:cs="Arial" w:ascii="Arial" w:hAnsi="Arial"/>
          <w:bCs/>
          <w:i/>
          <w:color w:val="FF0000"/>
          <w:sz w:val="20"/>
          <w:szCs w:val="20"/>
        </w:rPr>
        <w:t xml:space="preserve"> </w:t>
      </w:r>
      <w:r>
        <w:rPr>
          <w:rFonts w:cs="Arial" w:ascii="Arial" w:hAnsi="Arial"/>
          <w:bCs/>
          <w:sz w:val="20"/>
          <w:szCs w:val="20"/>
        </w:rPr>
        <w:t>horas</w:t>
      </w:r>
      <w:r>
        <w:rPr>
          <w:rFonts w:cs="Arial" w:ascii="Arial" w:hAnsi="Arial"/>
          <w:sz w:val="20"/>
          <w:szCs w:val="20"/>
        </w:rPr>
        <w:t xml:space="preserve">, documento válido que comprove o atendimento das exigências deste Edital, sob pena de inabilitação, ressalvado o disposto quanto à comprovação da regularidade fiscal. </w:t>
      </w:r>
    </w:p>
    <w:p>
      <w:pPr>
        <w:pStyle w:val="ListParagraph"/>
        <w:numPr>
          <w:ilvl w:val="1"/>
          <w:numId w:val="1"/>
        </w:numPr>
        <w:spacing w:lineRule="auto" w:line="276" w:before="120" w:after="120"/>
        <w:ind w:left="425" w:hanging="0"/>
        <w:contextualSpacing/>
        <w:jc w:val="both"/>
        <w:rPr/>
      </w:pPr>
      <w:r>
        <w:rPr>
          <w:rFonts w:cs="Arial" w:ascii="Arial" w:hAnsi="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widowControl/>
        <w:bidi w:val="0"/>
        <w:spacing w:lineRule="auto" w:line="276" w:before="120" w:after="120"/>
        <w:ind w:left="1134" w:right="0" w:hanging="0"/>
        <w:contextualSpacing/>
        <w:jc w:val="both"/>
        <w:rPr/>
      </w:pPr>
      <w:r>
        <w:rPr>
          <w:rFonts w:cs="Arial" w:ascii="Arial" w:hAnsi="Arial"/>
          <w:b/>
          <w:bCs/>
          <w:color w:val="000000"/>
          <w:sz w:val="20"/>
          <w:szCs w:val="20"/>
        </w:rPr>
        <w:t xml:space="preserve">8.10.1 </w:t>
      </w:r>
      <w:r>
        <w:rPr>
          <w:rFonts w:cs="Arial" w:ascii="Arial" w:hAnsi="Arial"/>
          <w:bCs/>
          <w:color w:val="000000"/>
          <w:sz w:val="20"/>
          <w:szCs w:val="20"/>
        </w:rPr>
        <w:t>A declaração do vencedor acontecerá no momento imediatamente posterior à fase de habilitação.</w:t>
      </w:r>
    </w:p>
    <w:p>
      <w:pPr>
        <w:pStyle w:val="ListParagraph"/>
        <w:widowControl/>
        <w:bidi w:val="0"/>
        <w:spacing w:lineRule="auto" w:line="276" w:before="120" w:after="120"/>
        <w:ind w:left="1134" w:right="0" w:hanging="0"/>
        <w:contextualSpacing/>
        <w:jc w:val="both"/>
        <w:rPr/>
      </w:pPr>
      <w:r>
        <w:rPr>
          <w:rFonts w:cs="Arial" w:ascii="Arial" w:hAnsi="Arial"/>
          <w:b/>
          <w:bCs/>
          <w:color w:val="000000"/>
          <w:sz w:val="20"/>
          <w:szCs w:val="20"/>
        </w:rPr>
        <w:t xml:space="preserve">8.10.2  </w:t>
      </w:r>
      <w:r>
        <w:rPr>
          <w:rFonts w:cs="Arial" w:ascii="Arial" w:hAnsi="Arial"/>
          <w:bCs/>
          <w:color w:val="000000"/>
          <w:sz w:val="20"/>
          <w:szCs w:val="20"/>
        </w:rPr>
        <w:t>Constatada a existência de alguma restrição no que tange à regularidade fiscal, o licitante será convocado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widowControl/>
        <w:bidi w:val="0"/>
        <w:spacing w:lineRule="auto" w:line="276" w:before="120" w:after="120"/>
        <w:ind w:left="624" w:right="0" w:hanging="0"/>
        <w:contextualSpacing/>
        <w:jc w:val="both"/>
        <w:rPr/>
      </w:pPr>
      <w:r>
        <w:rPr>
          <w:rFonts w:cs="Arial" w:ascii="Arial" w:hAnsi="Arial"/>
          <w:b/>
          <w:bCs/>
          <w:color w:val="000000"/>
          <w:sz w:val="20"/>
          <w:szCs w:val="20"/>
        </w:rPr>
        <w:t xml:space="preserve">8.10.3 </w:t>
      </w:r>
      <w:r>
        <w:rPr>
          <w:rFonts w:cs="Arial" w:ascii="Arial" w:hAnsi="Arial"/>
          <w:bCs/>
          <w:color w:val="000000"/>
          <w:sz w:val="20"/>
          <w:szCs w:val="20"/>
        </w:rPr>
        <w:t>A não-regularização fiscal no prazo previsto no subitem anterior acarretará a inabilitação do licitante, sem prejuízo das sanções previstas neste Edital, com a reabertura da sessão pública.</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Normal"/>
        <w:numPr>
          <w:ilvl w:val="1"/>
          <w:numId w:val="1"/>
        </w:numPr>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t>Da sessão pública do Pregão divulgar-se-á Ata no sistema eletrônico.</w:t>
      </w:r>
    </w:p>
    <w:p>
      <w:pPr>
        <w:pStyle w:val="Nivel01"/>
        <w:numPr>
          <w:ilvl w:val="0"/>
          <w:numId w:val="1"/>
        </w:numPr>
        <w:ind w:left="0" w:hanging="0"/>
        <w:rPr/>
      </w:pPr>
      <w:r>
        <w:rPr>
          <w:rFonts w:cs="Arial" w:ascii="Arial" w:hAnsi="Arial"/>
          <w:lang w:eastAsia="en-US"/>
        </w:rPr>
        <w:t>DA REABERTURA DA SESSÃO PÚBLICA</w:t>
      </w:r>
    </w:p>
    <w:p>
      <w:pPr>
        <w:pStyle w:val="Nivel01"/>
        <w:keepNext/>
        <w:keepLines w:val="false"/>
        <w:numPr>
          <w:ilvl w:val="1"/>
          <w:numId w:val="1"/>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1"/>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1"/>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pPr>
        <w:pStyle w:val="Nivel01"/>
        <w:keepNext/>
        <w:keepLines w:val="false"/>
        <w:numPr>
          <w:ilvl w:val="1"/>
          <w:numId w:val="1"/>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1"/>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2"/>
          <w:numId w:val="1"/>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ormal"/>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1"/>
        </w:numPr>
        <w:spacing w:lineRule="auto" w:line="276" w:before="120" w:after="120"/>
        <w:contextualSpacing/>
        <w:jc w:val="both"/>
        <w:rPr>
          <w:rFonts w:ascii="Arial" w:hAnsi="Arial" w:cs="Arial"/>
          <w:i/>
          <w:i/>
          <w:color w:val="FF0000"/>
          <w:sz w:val="20"/>
          <w:szCs w:val="20"/>
          <w:lang w:eastAsia="en-US"/>
        </w:rPr>
      </w:pPr>
      <w:r>
        <w:rPr>
          <w:rFonts w:cs="Arial" w:ascii="Arial" w:hAnsi="Arial"/>
          <w:b/>
          <w:i w:val="false"/>
          <w:iCs w:val="false"/>
          <w:color w:val="000000"/>
          <w:sz w:val="20"/>
          <w:szCs w:val="20"/>
          <w:lang w:eastAsia="en-US"/>
        </w:rPr>
        <w:t>DO ENCAMINHAMENTO DA PROPOSTA VENCEDORA</w:t>
      </w:r>
    </w:p>
    <w:p>
      <w:pPr>
        <w:pStyle w:val="Normal"/>
        <w:numPr>
          <w:ilvl w:val="1"/>
          <w:numId w:val="1"/>
        </w:numPr>
        <w:spacing w:lineRule="auto" w:line="276" w:before="120" w:after="120"/>
        <w:ind w:left="425" w:hanging="0"/>
        <w:jc w:val="both"/>
        <w:rPr>
          <w:i w:val="false"/>
          <w:i w:val="false"/>
          <w:iCs w:val="false"/>
          <w:color w:val="000000"/>
        </w:rPr>
      </w:pPr>
      <w:r>
        <w:rPr>
          <w:rFonts w:cs="Arial" w:ascii="Arial" w:hAnsi="Arial"/>
          <w:i w:val="false"/>
          <w:iCs w:val="false"/>
          <w:color w:val="000000"/>
          <w:sz w:val="20"/>
          <w:szCs w:val="20"/>
        </w:rPr>
        <w:t xml:space="preserve">A proposta final do licitante declarado vencedor deverá ser encaminhada no prazo de </w:t>
      </w:r>
      <w:r>
        <w:rPr>
          <w:rFonts w:cs="Arial" w:ascii="Arial" w:hAnsi="Arial"/>
          <w:b/>
          <w:bCs/>
          <w:i w:val="false"/>
          <w:iCs w:val="false"/>
          <w:color w:val="000000"/>
          <w:sz w:val="20"/>
          <w:szCs w:val="20"/>
        </w:rPr>
        <w:t>02 (duas) horas</w:t>
      </w:r>
      <w:r>
        <w:rPr>
          <w:rFonts w:cs="Arial" w:ascii="Arial" w:hAnsi="Arial"/>
          <w:i w:val="false"/>
          <w:iCs w:val="false"/>
          <w:color w:val="000000"/>
          <w:sz w:val="20"/>
          <w:szCs w:val="20"/>
        </w:rPr>
        <w:t>, a contar da solicitação do Pregoeiro no sistema eletrônico e deverá:</w:t>
      </w:r>
    </w:p>
    <w:p>
      <w:pPr>
        <w:pStyle w:val="Normal"/>
        <w:numPr>
          <w:ilvl w:val="2"/>
          <w:numId w:val="1"/>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1"/>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conter a indicação do banco, número da conta e agência do licitante vencedor, para fins de pagamento.</w:t>
      </w:r>
    </w:p>
    <w:p>
      <w:pPr>
        <w:pStyle w:val="Normal"/>
        <w:numPr>
          <w:ilvl w:val="1"/>
          <w:numId w:val="1"/>
        </w:numPr>
        <w:spacing w:lineRule="auto" w:line="276" w:before="120" w:after="120"/>
        <w:ind w:left="425" w:hanging="0"/>
        <w:jc w:val="both"/>
        <w:rPr>
          <w:rFonts w:ascii="Arial" w:hAnsi="Arial" w:cs="Arial"/>
          <w:i/>
          <w:i/>
          <w:color w:val="FF0000"/>
          <w:sz w:val="20"/>
          <w:szCs w:val="20"/>
        </w:rPr>
      </w:pPr>
      <w:r>
        <w:rPr>
          <w:rFonts w:cs="Arial" w:ascii="Arial" w:hAnsi="Arial"/>
          <w:i w:val="false"/>
          <w:iCs w:val="false"/>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1"/>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Todas as especificações do objeto contidas na proposta, tais como marca, modelo, tipo, fabricante e procedência, vinculam a Contratada.</w:t>
      </w:r>
    </w:p>
    <w:p>
      <w:pPr>
        <w:pStyle w:val="Normal"/>
        <w:numPr>
          <w:ilvl w:val="0"/>
          <w:numId w:val="1"/>
        </w:numPr>
        <w:spacing w:lineRule="auto" w:line="276" w:before="120" w:after="120"/>
        <w:ind w:left="0" w:hanging="0"/>
        <w:jc w:val="both"/>
        <w:rPr/>
      </w:pPr>
      <w:r>
        <w:rPr>
          <w:rFonts w:cs="Arial" w:ascii="Arial" w:hAnsi="Arial"/>
          <w:b/>
          <w:color w:val="000000"/>
          <w:sz w:val="20"/>
          <w:szCs w:val="20"/>
          <w:lang w:eastAsia="en-US"/>
        </w:rPr>
        <w:t>DOS RECURSOS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de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falta de manifestação motivada do licitante quanto à intenção de recorrer importará a decadência desse direito.</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DA ADJUDICAÇÃO E HOMOLOGAÇÃO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360" w:hanging="0"/>
        <w:contextualSpacing/>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spacing w:lineRule="auto" w:line="276" w:before="0" w:after="120"/>
        <w:ind w:left="360" w:right="-17" w:hanging="360"/>
        <w:jc w:val="both"/>
        <w:rPr/>
      </w:pPr>
      <w:r>
        <w:rPr>
          <w:rFonts w:cs="Arial" w:ascii="Arial" w:hAnsi="Arial"/>
          <w:b/>
          <w:color w:val="000000"/>
          <w:sz w:val="20"/>
          <w:szCs w:val="20"/>
        </w:rPr>
        <w:t>DO TERMO DE CONTRATO OU INSTRUMENTO EQUIVALENTE</w:t>
      </w:r>
    </w:p>
    <w:p>
      <w:pPr>
        <w:pStyle w:val="Normal"/>
        <w:numPr>
          <w:ilvl w:val="1"/>
          <w:numId w:val="1"/>
        </w:numPr>
        <w:spacing w:lineRule="auto" w:line="276" w:before="120" w:after="120"/>
        <w:ind w:left="425" w:hanging="0"/>
        <w:jc w:val="both"/>
        <w:rPr/>
      </w:pPr>
      <w:r>
        <w:rPr>
          <w:rFonts w:cs="Arial" w:ascii="Arial" w:hAnsi="Arial"/>
          <w:color w:val="000000"/>
          <w:sz w:val="20"/>
          <w:szCs w:val="20"/>
        </w:rPr>
        <w:t>Após a homologação da licitação, s</w:t>
      </w:r>
      <w:r>
        <w:rPr>
          <w:rFonts w:cs="Arial" w:ascii="Arial" w:hAnsi="Arial"/>
          <w:bCs/>
          <w:iCs/>
          <w:color w:val="000000"/>
          <w:sz w:val="20"/>
          <w:szCs w:val="20"/>
        </w:rPr>
        <w:t>erá firmado Termo de Contrato ou aceito instrumento equivalente (Nota de Empenho/Carta Contrato/Autorização). O prazo de vigência da contratação é de 12 (meses)</w:t>
      </w:r>
      <w:r>
        <w:rPr>
          <w:rFonts w:cs="Arial" w:ascii="Arial" w:hAnsi="Arial"/>
          <w:bCs/>
          <w:iCs/>
          <w:color w:val="FF0000"/>
          <w:sz w:val="20"/>
          <w:szCs w:val="20"/>
        </w:rPr>
        <w:t xml:space="preserve"> </w:t>
      </w:r>
      <w:r>
        <w:rPr>
          <w:rFonts w:cs="Arial" w:ascii="Arial" w:hAnsi="Arial"/>
          <w:bCs/>
          <w:iCs/>
          <w:color w:val="000000"/>
          <w:sz w:val="20"/>
          <w:szCs w:val="20"/>
        </w:rPr>
        <w:t>contados do(a) assinatura do contrato</w:t>
      </w:r>
      <w:r>
        <w:rPr>
          <w:rFonts w:cs="Arial" w:ascii="Arial" w:hAnsi="Arial"/>
          <w:bCs/>
          <w:iCs/>
          <w:color w:val="FF0000"/>
          <w:sz w:val="20"/>
          <w:szCs w:val="20"/>
        </w:rPr>
        <w:t xml:space="preserve"> </w:t>
      </w:r>
      <w:r>
        <w:rPr>
          <w:rFonts w:cs="Arial" w:ascii="Arial" w:hAnsi="Arial"/>
          <w:bCs/>
          <w:iCs/>
          <w:color w:val="000000"/>
          <w:sz w:val="20"/>
          <w:szCs w:val="20"/>
        </w:rPr>
        <w:t>prorrogável na forma do art. 57, § 1°, da Lei n° 8.666/93.</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Previamente à contratação, a Administração promotora da licitação realizará consulta ao SICAF para identificar eventual proibição da licitante adjudicatária de contratar com o Poder Público.</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rPr>
        <w:t xml:space="preserve">A adjudicatária terá o prazo de 10 (dez) dias úteis, contados a partir da data de sua convocação, para assinar o Termo de Contrato ou aceitar o instrumento equivalente, conforme o caso, sob pena de decair do direito à contratação, sem prejuízo das sanções previstas neste Edital. </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rPr>
        <w:t>Alternativamente à convocação para comparecer perante o órgão ou entidade</w:t>
      </w:r>
      <w:r>
        <w:rPr>
          <w:rFonts w:cs="Arial" w:ascii="Arial" w:hAnsi="Arial"/>
          <w:i/>
          <w:color w:val="FF0000"/>
          <w:sz w:val="20"/>
          <w:szCs w:val="20"/>
        </w:rPr>
        <w:t xml:space="preserve"> </w:t>
      </w:r>
      <w:r>
        <w:rPr>
          <w:rFonts w:cs="Arial" w:ascii="Arial" w:hAnsi="Arial"/>
          <w:color w:val="000000"/>
          <w:sz w:val="20"/>
          <w:szCs w:val="20"/>
        </w:rPr>
        <w:t xml:space="preserve">para a assinatura do Termo de Contrato ou aceite do instrumento equivalente, a Administração poderá encaminhá-lo para assinatura ou aceite da Adjudicatária, </w:t>
      </w:r>
      <w:r>
        <w:rPr>
          <w:rFonts w:cs="Arial" w:ascii="Arial" w:hAnsi="Arial"/>
          <w:bCs/>
          <w:iCs/>
          <w:color w:val="000000"/>
          <w:sz w:val="20"/>
          <w:szCs w:val="20"/>
        </w:rPr>
        <w:t>mediante correspondência postal com aviso de recebimento (AR) ou meio eletrônico, para que seja assinado ou aceito no prazo de 05(cinco) dias, a contar da data de seu recebimento.</w:t>
      </w:r>
      <w:r>
        <w:rPr>
          <w:rFonts w:cs="Arial" w:ascii="Arial" w:hAnsi="Arial"/>
          <w:bCs/>
          <w:i/>
          <w:iCs/>
          <w:color w:val="FF0000"/>
          <w:sz w:val="20"/>
          <w:szCs w:val="20"/>
        </w:rPr>
        <w:t xml:space="preserve"> </w:t>
      </w:r>
    </w:p>
    <w:p>
      <w:pPr>
        <w:pStyle w:val="Normal"/>
        <w:numPr>
          <w:ilvl w:val="1"/>
          <w:numId w:val="1"/>
        </w:numPr>
        <w:spacing w:lineRule="auto" w:line="276" w:before="120" w:after="120"/>
        <w:ind w:left="425" w:hanging="0"/>
        <w:jc w:val="both"/>
        <w:rPr/>
      </w:pPr>
      <w:r>
        <w:rPr>
          <w:rFonts w:cs="Arial" w:ascii="Arial" w:hAnsi="Arial"/>
          <w:color w:val="000000"/>
          <w:sz w:val="20"/>
          <w:szCs w:val="20"/>
        </w:rPr>
        <w:t>O prazo previsto no subitem anterior poderá ser prorrogado, por igual período, por solicitação justificada do adjudicatário e aceita pela Administração.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Antes da assinatura do Termo de Contrato ou aceite do instrumento equivalente, a Administração realizará consulta “on line” ao SICAF, bem como ao Cadastro Informativo de Créditos não Quitados – CADIN, cujos resultados serão anexados aos autos do processo.</w:t>
      </w:r>
    </w:p>
    <w:p>
      <w:pPr>
        <w:pStyle w:val="Normal"/>
        <w:numPr>
          <w:ilvl w:val="2"/>
          <w:numId w:val="1"/>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pPr>
        <w:pStyle w:val="Normal"/>
        <w:numPr>
          <w:ilvl w:val="0"/>
          <w:numId w:val="1"/>
        </w:numPr>
        <w:spacing w:lineRule="auto" w:line="276" w:before="120" w:after="120"/>
        <w:ind w:left="0" w:hanging="0"/>
        <w:jc w:val="both"/>
        <w:rPr/>
      </w:pPr>
      <w:r>
        <w:rPr>
          <w:rFonts w:cs="Arial" w:ascii="Arial" w:hAnsi="Arial"/>
          <w:b/>
          <w:color w:val="000000"/>
          <w:sz w:val="20"/>
          <w:szCs w:val="20"/>
        </w:rPr>
        <w:t>DO PREÇO</w:t>
      </w:r>
    </w:p>
    <w:p>
      <w:pPr>
        <w:pStyle w:val="ListParagraph"/>
        <w:numPr>
          <w:ilvl w:val="1"/>
          <w:numId w:val="1"/>
        </w:numPr>
        <w:spacing w:lineRule="auto" w:line="276" w:before="120" w:after="120"/>
        <w:ind w:left="425" w:hanging="0"/>
        <w:contextualSpacing/>
        <w:jc w:val="both"/>
        <w:rPr/>
      </w:pPr>
      <w:r>
        <w:rPr>
          <w:rFonts w:cs="Arial" w:ascii="Arial" w:hAnsi="Arial"/>
          <w:color w:val="000000"/>
          <w:sz w:val="20"/>
          <w:szCs w:val="20"/>
        </w:rPr>
        <w:t>Os preços são fixos e irreajustáveis no prazo de um ano contado da data limite para a apresentação das propostas.</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2"/>
          <w:numId w:val="1"/>
        </w:numPr>
        <w:spacing w:lineRule="auto" w:line="276" w:before="120" w:after="120"/>
        <w:ind w:left="1134" w:hanging="0"/>
        <w:contextualSpacing/>
        <w:jc w:val="both"/>
        <w:rPr/>
      </w:pPr>
      <w:r>
        <w:rPr>
          <w:rFonts w:cs="Arial" w:ascii="Arial" w:hAnsi="Arial"/>
          <w:b/>
          <w:bCs/>
          <w:color w:val="CC0000"/>
          <w:sz w:val="20"/>
          <w:szCs w:val="20"/>
          <w:u w:val="single"/>
        </w:rPr>
        <w:t>SUPRESSÃO</w:t>
      </w:r>
      <w:r>
        <w:rPr>
          <w:rFonts w:cs="Arial" w:ascii="Arial" w:hAnsi="Arial"/>
          <w:color w:val="000000"/>
          <w:sz w:val="20"/>
          <w:szCs w:val="20"/>
        </w:rPr>
        <w:t>.</w:t>
      </w:r>
    </w:p>
    <w:p>
      <w:pPr>
        <w:pStyle w:val="Normal"/>
        <w:numPr>
          <w:ilvl w:val="0"/>
          <w:numId w:val="1"/>
        </w:numPr>
        <w:spacing w:lineRule="auto" w:line="276" w:before="120" w:after="120"/>
        <w:ind w:left="0" w:hanging="0"/>
        <w:jc w:val="both"/>
        <w:rPr/>
      </w:pPr>
      <w:r>
        <w:rPr>
          <w:rFonts w:cs="Arial" w:ascii="Arial" w:hAnsi="Arial"/>
          <w:b/>
          <w:color w:val="000000"/>
          <w:sz w:val="20"/>
          <w:szCs w:val="20"/>
        </w:rPr>
        <w:t>DA ENTREGA E DO RECEBIMENTO DO OBJETO E DA FISCALIZAÇÃO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ormal"/>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DAS</w:t>
      </w:r>
      <w:r>
        <w:rPr>
          <w:rFonts w:cs="Arial" w:ascii="Arial" w:hAnsi="Arial"/>
          <w:b/>
          <w:color w:val="000000"/>
          <w:sz w:val="20"/>
          <w:szCs w:val="20"/>
          <w:lang w:eastAsia="en-US"/>
        </w:rPr>
        <w:t xml:space="preserve"> OBRIGAÇÕES DA CONTRATANTE E DA CONTRATADA</w:t>
      </w:r>
    </w:p>
    <w:p>
      <w:pPr>
        <w:pStyle w:val="Normal"/>
        <w:numPr>
          <w:ilvl w:val="1"/>
          <w:numId w:val="1"/>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lang w:eastAsia="en-US"/>
        </w:rPr>
        <w:t>As obrigações da Contratante e da Contratada são as estabelecidas no Termo de Referência.</w:t>
      </w:r>
    </w:p>
    <w:p>
      <w:pPr>
        <w:pStyle w:val="Normal"/>
        <w:numPr>
          <w:ilvl w:val="0"/>
          <w:numId w:val="1"/>
        </w:numPr>
        <w:spacing w:lineRule="auto" w:line="276" w:before="0" w:after="120"/>
        <w:ind w:left="360" w:right="-17" w:hanging="360"/>
        <w:jc w:val="both"/>
        <w:rPr/>
      </w:pPr>
      <w:r>
        <w:rPr>
          <w:rFonts w:cs="Arial" w:ascii="Arial" w:hAnsi="Arial"/>
          <w:b/>
          <w:color w:val="000000"/>
          <w:sz w:val="20"/>
          <w:szCs w:val="20"/>
        </w:rPr>
        <w:t>DO PAGAMENTO</w:t>
      </w:r>
    </w:p>
    <w:p>
      <w:pPr>
        <w:pStyle w:val="Normal"/>
        <w:numPr>
          <w:ilvl w:val="1"/>
          <w:numId w:val="1"/>
        </w:numPr>
        <w:spacing w:lineRule="auto" w:line="276" w:before="120" w:after="120"/>
        <w:ind w:left="425"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 xml:space="preserve">O pagamento será realizado no prazo máximo de até 30 (trinta) dias, contados a partir </w:t>
      </w:r>
      <w:r>
        <w:rPr>
          <w:rFonts w:cs="Arial" w:ascii="Arial" w:hAnsi="Arial"/>
          <w:color w:val="000000"/>
          <w:sz w:val="20"/>
          <w:szCs w:val="20"/>
        </w:rPr>
        <w:t xml:space="preserve">da data final do período de adimplemento a que se referir, </w:t>
      </w:r>
      <w:r>
        <w:rPr>
          <w:rFonts w:cs="Arial" w:ascii="Arial" w:hAnsi="Arial"/>
          <w:color w:val="000000"/>
          <w:sz w:val="20"/>
          <w:szCs w:val="20"/>
          <w:lang w:eastAsia="en-US"/>
        </w:rPr>
        <w:t>através de ordem bancária, para crédito em banco, agência e conta corrente indicados pelo contratado.</w:t>
      </w:r>
    </w:p>
    <w:p>
      <w:pPr>
        <w:pStyle w:val="Normal"/>
        <w:numPr>
          <w:ilvl w:val="1"/>
          <w:numId w:val="1"/>
        </w:numPr>
        <w:spacing w:lineRule="auto" w:line="276" w:before="120" w:after="120"/>
        <w:ind w:left="425" w:hanging="0"/>
        <w:jc w:val="both"/>
        <w:rPr/>
      </w:pPr>
      <w:r>
        <w:rPr>
          <w:rFonts w:cs="Arial" w:ascii="Arial" w:hAnsi="Arial"/>
          <w:sz w:val="20"/>
          <w:szCs w:val="20"/>
          <w:lang w:eastAsia="en-US"/>
        </w:rPr>
        <w:t xml:space="preserve"> </w:t>
      </w:r>
      <w:r>
        <w:rPr>
          <w:rFonts w:cs="Arial" w:ascii="Arial" w:hAnsi="Arial"/>
          <w:sz w:val="20"/>
          <w:szCs w:val="20"/>
          <w:lang w:eastAsia="en-US"/>
        </w:rPr>
        <w:t xml:space="preserve">Os pagamentos decorrentes de despesas cujos valores não ultrapassem o limite </w:t>
      </w:r>
      <w:r>
        <w:rPr>
          <w:rFonts w:cs="Arial" w:ascii="Arial" w:hAnsi="Arial"/>
          <w:sz w:val="20"/>
          <w:szCs w:val="20"/>
        </w:rPr>
        <w:t>de que trata o inciso II do art. 24</w:t>
      </w:r>
      <w:r>
        <w:rPr>
          <w:rFonts w:cs="Arial" w:ascii="Arial" w:hAnsi="Arial"/>
          <w:sz w:val="20"/>
          <w:szCs w:val="20"/>
          <w:lang w:eastAsia="en-US"/>
        </w:rPr>
        <w:t xml:space="preserve"> da Lei 8.666, de 1993, deverão ser efetuados no prazo de até 5 (cinco) dias úteis, contados da data da apresentação da Nota Fiscal, nos termos do art. 5º, § 3º, da Lei nº 8.666, de 1993</w:t>
      </w:r>
      <w:r>
        <w:rPr>
          <w:rFonts w:cs="Arial" w:ascii="Arial" w:hAnsi="Arial"/>
          <w:color w:val="000000"/>
          <w:sz w:val="20"/>
          <w:szCs w:val="20"/>
          <w:lang w:eastAsia="en-US"/>
        </w:rPr>
        <w:t>.</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pagamento somente será autorizado depois de efetuado o “atesto” pelo servidor competente na nota fiscal apresentada.</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 xml:space="preserve"> </w:t>
      </w:r>
      <w:r>
        <w:rPr>
          <w:rFonts w:cs="Arial" w:ascii="Arial" w:hAnsi="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cs="Arial" w:ascii="Arial" w:hAnsi="Arial"/>
          <w:color w:val="000000"/>
          <w:sz w:val="20"/>
          <w:szCs w:val="20"/>
        </w:rPr>
        <w:t>obrigação financeira pendente, decorrente de penalidade imposta ou inadimplência,</w:t>
      </w:r>
      <w:r>
        <w:rPr>
          <w:rFonts w:cs="Arial" w:ascii="Arial" w:hAnsi="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Será considerada data do pagamento o dia </w:t>
      </w:r>
      <w:r>
        <w:rPr>
          <w:rFonts w:cs="Arial" w:ascii="Arial" w:hAnsi="Arial"/>
          <w:color w:val="000000"/>
          <w:sz w:val="20"/>
          <w:szCs w:val="20"/>
          <w:lang w:eastAsia="en-US"/>
        </w:rPr>
        <w:t>em que constar como emitida a ordem bancária para pagamento.</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1"/>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Quando do pagamento, será efetuada a retenção tributária prevista na legislação aplicável.</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 I x N x VP, sendo:</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 Encargos moratórios;</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 = Número de dias entre a data prevista para o pagamento e a do efetivo pagamento;</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VP = Valor da parcela a ser paga.</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I = Índice de compensação financeira = 0,00016438, assim apurado:</w:t>
      </w:r>
    </w:p>
    <w:tbl>
      <w:tblPr>
        <w:tblStyle w:val="Tabelacomgrade"/>
        <w:tblW w:w="8647" w:type="dxa"/>
        <w:jc w:val="left"/>
        <w:tblInd w:w="425" w:type="dxa"/>
        <w:tblCellMar>
          <w:top w:w="0" w:type="dxa"/>
          <w:left w:w="128" w:type="dxa"/>
          <w:bottom w:w="0" w:type="dxa"/>
          <w:right w:w="108" w:type="dxa"/>
        </w:tblCellMar>
        <w:tblLook w:firstRow="1" w:noVBand="1" w:lastRow="0" w:firstColumn="1" w:lastColumn="0" w:noHBand="0" w:val="04a0"/>
      </w:tblPr>
      <w:tblGrid>
        <w:gridCol w:w="2149"/>
        <w:gridCol w:w="441"/>
        <w:gridCol w:w="1247"/>
        <w:gridCol w:w="4809"/>
      </w:tblGrid>
      <w:tr>
        <w:trPr/>
        <w:tc>
          <w:tcPr>
            <w:tcW w:w="2149" w:type="dxa"/>
            <w:vMerge w:val="restart"/>
            <w:tcBorders>
              <w:top w:val="nil"/>
              <w:left w:val="nil"/>
              <w:bottom w:val="nil"/>
              <w:right w:val="nil"/>
              <w:insideH w:val="nil"/>
              <w:insideV w:val="nil"/>
            </w:tcBorders>
            <w:shd w:fill="auto" w:val="clear"/>
            <w:vAlign w:val="cente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I = (TX)</w:t>
            </w:r>
          </w:p>
        </w:tc>
        <w:tc>
          <w:tcPr>
            <w:tcW w:w="441" w:type="dxa"/>
            <w:vMerge w:val="restart"/>
            <w:tcBorders>
              <w:top w:val="nil"/>
              <w:left w:val="nil"/>
              <w:bottom w:val="nil"/>
              <w:right w:val="nil"/>
              <w:insideH w:val="nil"/>
              <w:insideV w:val="nil"/>
            </w:tcBorders>
            <w:shd w:fill="auto" w:val="clear"/>
            <w:vAlign w:val="center"/>
          </w:tcPr>
          <w:p>
            <w:pPr>
              <w:pStyle w:val="Normal"/>
              <w:tabs>
                <w:tab w:val="left" w:pos="1701" w:leader="none"/>
              </w:tabs>
              <w:rPr>
                <w:rFonts w:ascii="Arial" w:hAnsi="Arial" w:cs="Arial"/>
                <w:color w:val="000000"/>
                <w:sz w:val="20"/>
                <w:szCs w:val="20"/>
              </w:rPr>
            </w:pPr>
            <w:r>
              <w:rPr>
                <w:rFonts w:eastAsia="ＭＳ 明朝" w:cs="Arial" w:ascii="Arial" w:hAnsi="Arial"/>
                <w:color w:val="000000"/>
                <w:sz w:val="20"/>
                <w:szCs w:val="20"/>
                <w:lang w:eastAsia="en-US"/>
              </w:rPr>
              <w:t xml:space="preserve">I = </w:t>
            </w:r>
          </w:p>
        </w:tc>
        <w:tc>
          <w:tcPr>
            <w:tcW w:w="1247" w:type="dxa"/>
            <w:tcBorders>
              <w:top w:val="nil"/>
              <w:left w:val="nil"/>
              <w:right w:val="nil"/>
              <w:insideV w:val="nil"/>
            </w:tcBorders>
            <w:shd w:fill="auto" w:val="clea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( 6 / 100 )</w:t>
            </w:r>
          </w:p>
        </w:tc>
        <w:tc>
          <w:tcPr>
            <w:tcW w:w="4809" w:type="dxa"/>
            <w:vMerge w:val="restart"/>
            <w:tcBorders>
              <w:top w:val="nil"/>
              <w:left w:val="nil"/>
              <w:bottom w:val="nil"/>
              <w:right w:val="nil"/>
              <w:insideH w:val="nil"/>
              <w:insideV w:val="nil"/>
            </w:tcBorders>
            <w:shd w:fill="auto" w:val="clear"/>
            <w:vAlign w:val="center"/>
          </w:tcPr>
          <w:p>
            <w:pPr>
              <w:pStyle w:val="Normal"/>
              <w:tabs>
                <w:tab w:val="left" w:pos="1701" w:leader="none"/>
              </w:tabs>
              <w:ind w:left="742" w:hanging="0"/>
              <w:rPr>
                <w:rFonts w:ascii="Arial" w:hAnsi="Arial" w:cs="Arial"/>
                <w:color w:val="000000"/>
                <w:sz w:val="20"/>
                <w:szCs w:val="20"/>
              </w:rPr>
            </w:pPr>
            <w:r>
              <w:rPr>
                <w:rFonts w:eastAsia="ＭＳ 明朝" w:cs="Arial" w:ascii="Arial" w:hAnsi="Arial"/>
                <w:color w:val="000000"/>
                <w:sz w:val="20"/>
                <w:szCs w:val="20"/>
                <w:lang w:eastAsia="en-US"/>
              </w:rPr>
              <w:t>I = 0,00016438</w:t>
            </w:r>
          </w:p>
          <w:p>
            <w:pPr>
              <w:pStyle w:val="Normal"/>
              <w:tabs>
                <w:tab w:val="left" w:pos="1701" w:leader="none"/>
              </w:tabs>
              <w:ind w:left="742" w:hanging="0"/>
              <w:rPr>
                <w:rFonts w:ascii="Arial" w:hAnsi="Arial" w:cs="Arial"/>
                <w:color w:val="000000"/>
                <w:sz w:val="20"/>
                <w:szCs w:val="20"/>
              </w:rPr>
            </w:pPr>
            <w:r>
              <w:rPr>
                <w:rFonts w:eastAsia="ＭＳ 明朝" w:cs="Arial" w:ascii="Arial" w:hAnsi="Arial"/>
                <w:color w:val="000000"/>
                <w:sz w:val="20"/>
                <w:szCs w:val="20"/>
                <w:lang w:eastAsia="en-US"/>
              </w:rPr>
              <w:t>TX = Percentual da taxa anual = 6%</w:t>
            </w:r>
          </w:p>
        </w:tc>
      </w:tr>
      <w:tr>
        <w:trPr/>
        <w:tc>
          <w:tcPr>
            <w:tcW w:w="2149"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441"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1247" w:type="dxa"/>
            <w:tcBorders>
              <w:top w:val="nil"/>
              <w:left w:val="nil"/>
              <w:bottom w:val="nil"/>
              <w:right w:val="nil"/>
              <w:insideH w:val="nil"/>
              <w:insideV w:val="nil"/>
            </w:tcBorders>
            <w:shd w:fill="auto" w:val="clea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365</w:t>
            </w:r>
          </w:p>
        </w:tc>
        <w:tc>
          <w:tcPr>
            <w:tcW w:w="4809"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r>
    </w:tbl>
    <w:p>
      <w:pPr>
        <w:pStyle w:val="Normal"/>
        <w:spacing w:lineRule="auto" w:line="276" w:before="0" w:after="120"/>
        <w:ind w:left="360" w:right="-17"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1"/>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DAS SANÇÕES ADMINISTRATIVAS.</w:t>
      </w:r>
    </w:p>
    <w:p>
      <w:pPr>
        <w:pStyle w:val="Normal"/>
        <w:numPr>
          <w:ilvl w:val="1"/>
          <w:numId w:val="1"/>
        </w:numPr>
        <w:spacing w:lineRule="auto" w:line="276" w:before="120" w:after="120"/>
        <w:ind w:left="425" w:hanging="0"/>
        <w:jc w:val="both"/>
        <w:rPr>
          <w:rFonts w:ascii="Arial" w:hAnsi="Arial" w:cs="Arial"/>
          <w:color w:val="000000"/>
          <w:sz w:val="20"/>
          <w:szCs w:val="20"/>
          <w:highlight w:val="white"/>
        </w:rPr>
      </w:pPr>
      <w:r>
        <w:rPr>
          <w:rFonts w:cs="Arial" w:ascii="Arial" w:hAnsi="Arial"/>
          <w:sz w:val="20"/>
          <w:szCs w:val="20"/>
          <w:shd w:fill="FFFFFF" w:val="clear"/>
        </w:rPr>
        <w:t xml:space="preserve">  </w:t>
      </w:r>
      <w:r>
        <w:rPr>
          <w:rFonts w:cs="Arial" w:ascii="Arial" w:hAnsi="Arial"/>
          <w:sz w:val="20"/>
          <w:szCs w:val="20"/>
          <w:shd w:fill="FFFFFF" w:val="clear"/>
        </w:rPr>
        <w:t>Comete infração administrativa, nos termos da Lei nº 10.520, de 2002, o licitante/</w:t>
      </w:r>
      <w:r>
        <w:rPr>
          <w:rFonts w:cs="Arial" w:ascii="Arial" w:hAnsi="Arial"/>
          <w:color w:val="000000"/>
          <w:sz w:val="20"/>
          <w:szCs w:val="20"/>
          <w:shd w:fill="FFFFFF" w:val="clear"/>
        </w:rPr>
        <w:t xml:space="preserve">adjudicatário que: </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não aceitar/retirar a nota de empenho, ou não assinar o termo de contrato, quando convocado dentro do prazo de validade da proposta;</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apresentar documentação falsa;</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deixar de entregar os documentos exigidos no certame;</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rPr>
        <w:t>ensejar o retardamento da execução do objeto;</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não mantiver a proposta;</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cometer fraude fiscal;</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comportar-se de modo inidôneo.</w:t>
      </w:r>
    </w:p>
    <w:p>
      <w:pPr>
        <w:pStyle w:val="Normal"/>
        <w:numPr>
          <w:ilvl w:val="1"/>
          <w:numId w:val="1"/>
        </w:numPr>
        <w:spacing w:lineRule="auto" w:line="276" w:before="120" w:after="120"/>
        <w:ind w:left="425" w:hanging="0"/>
        <w:jc w:val="both"/>
        <w:rPr>
          <w:rFonts w:ascii="Arial" w:hAnsi="Arial" w:cs="Arial"/>
          <w:color w:val="000000"/>
          <w:sz w:val="20"/>
          <w:szCs w:val="20"/>
          <w:highlight w:val="white"/>
        </w:rPr>
      </w:pPr>
      <w:r>
        <w:rPr>
          <w:rFonts w:cs="Arial" w:ascii="Arial" w:hAnsi="Arial"/>
          <w:color w:val="000000"/>
          <w:sz w:val="20"/>
          <w:szCs w:val="20"/>
          <w:shd w:fill="FFFFFF" w:val="clear"/>
        </w:rPr>
        <w:t xml:space="preserve">   </w:t>
      </w:r>
      <w:r>
        <w:rPr>
          <w:rFonts w:cs="Arial" w:ascii="Arial" w:hAnsi="Arial"/>
          <w:color w:val="000000"/>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1"/>
        </w:numPr>
        <w:spacing w:lineRule="auto" w:line="276" w:before="120" w:after="120"/>
        <w:ind w:left="425" w:hanging="0"/>
        <w:jc w:val="both"/>
        <w:rPr>
          <w:rFonts w:ascii="Arial" w:hAnsi="Arial" w:cs="Arial"/>
          <w:color w:val="000000"/>
          <w:sz w:val="20"/>
          <w:szCs w:val="20"/>
          <w:highlight w:val="white"/>
        </w:rPr>
      </w:pPr>
      <w:r>
        <w:rPr>
          <w:rFonts w:cs="Arial" w:ascii="Arial" w:hAnsi="Arial"/>
          <w:color w:val="000000"/>
          <w:sz w:val="20"/>
          <w:szCs w:val="20"/>
          <w:shd w:fill="FFFFFF" w:val="clear"/>
        </w:rPr>
        <w:t>O licitante/adjudicatário que cometer qualquer das infrações discriminadas no subitem anterior ficará sujeito, sem prejuízo da responsabilidade civil e criminal, às seguintes sanções:</w:t>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shd w:fill="FFFFFF" w:val="clear"/>
        </w:rPr>
        <w:t>Multa de 10% (dez por cento) sobre o valor estimado do(s) item(s) prejudicado(s) pela conduta do licitante;</w:t>
      </w:r>
    </w:p>
    <w:p>
      <w:pPr>
        <w:pStyle w:val="Normal"/>
        <w:numPr>
          <w:ilvl w:val="2"/>
          <w:numId w:val="1"/>
        </w:numPr>
        <w:tabs>
          <w:tab w:val="left" w:pos="1440" w:leader="none"/>
        </w:tabs>
        <w:snapToGrid w:val="false"/>
        <w:spacing w:lineRule="auto" w:line="276" w:before="120" w:after="120"/>
        <w:ind w:left="1134" w:hanging="0"/>
        <w:jc w:val="both"/>
        <w:rPr>
          <w:rFonts w:ascii="Arial" w:hAnsi="Arial" w:cs="Arial"/>
          <w:color w:val="000000"/>
          <w:sz w:val="20"/>
          <w:szCs w:val="20"/>
          <w:highlight w:val="white"/>
        </w:rPr>
      </w:pPr>
      <w:r>
        <w:rPr>
          <w:rFonts w:cs="Arial" w:ascii="Arial" w:hAnsi="Arial"/>
          <w:color w:val="000000"/>
          <w:sz w:val="20"/>
          <w:szCs w:val="20"/>
          <w:shd w:fill="FFFFFF" w:val="clear"/>
        </w:rPr>
        <w:t>Impedimento de licitar e de contratar com a União e descredenciamento no SICAF, pelo prazo de até cinco anos;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shd w:fill="FFFFFF" w:val="clear"/>
        </w:rPr>
        <w:t>A penalidade de multa pode ser aplicada cumulativamente com a sanção de impedimento.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1"/>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penalidades serão obrigatoriamente registradas no SICAF.</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sanções por atos praticados no decorrer da contratação estão previstas no Termo de Referência.</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1"/>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IMPUGNAÇÃO AO EDITAL E DO PEDIDO DE ESCLARECIMENTO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Até 02 (dois) dias úteis antes da data designada para a abertura da sessão pública, qualquer pessoa poderá impugnar este Edital.</w:t>
      </w:r>
    </w:p>
    <w:p>
      <w:pPr>
        <w:pStyle w:val="Normal"/>
        <w:numPr>
          <w:ilvl w:val="1"/>
          <w:numId w:val="1"/>
        </w:numPr>
        <w:spacing w:lineRule="auto" w:line="276" w:before="120" w:after="120"/>
        <w:jc w:val="both"/>
        <w:rPr/>
      </w:pPr>
      <w:r>
        <w:rPr>
          <w:rFonts w:cs="Arial" w:ascii="Arial" w:hAnsi="Arial"/>
          <w:color w:val="000000"/>
          <w:sz w:val="20"/>
          <w:szCs w:val="20"/>
        </w:rPr>
        <w:t>A impugnação poderá ser realizada por forma eletrônica, pelo e-mail colic.ifs@gmail.com</w:t>
      </w:r>
      <w:r>
        <w:rPr>
          <w:rFonts w:cs="Arial" w:ascii="Arial" w:hAnsi="Arial"/>
          <w:color w:val="FF0000"/>
          <w:sz w:val="20"/>
          <w:szCs w:val="20"/>
        </w:rPr>
        <w:t>,</w:t>
      </w:r>
      <w:r>
        <w:rPr>
          <w:rFonts w:cs="Arial" w:ascii="Arial" w:hAnsi="Arial"/>
          <w:color w:val="000000"/>
          <w:sz w:val="20"/>
          <w:szCs w:val="20"/>
        </w:rPr>
        <w:t xml:space="preserve"> ou por petição dirigida ou protocolada no endereço Bairro Getúlio Vargas-Aracaju/SE, CEP: 49.055-260</w:t>
      </w:r>
      <w:r>
        <w:rPr>
          <w:rFonts w:cs="Arial" w:ascii="Arial" w:hAnsi="Arial"/>
          <w:color w:val="FF0000"/>
          <w:sz w:val="20"/>
          <w:szCs w:val="20"/>
        </w:rPr>
        <w:t>.</w:t>
      </w:r>
    </w:p>
    <w:p>
      <w:pPr>
        <w:pStyle w:val="Normal"/>
        <w:numPr>
          <w:ilvl w:val="1"/>
          <w:numId w:val="1"/>
        </w:numPr>
        <w:spacing w:lineRule="auto" w:line="276" w:before="120" w:after="120"/>
        <w:ind w:left="425" w:hanging="0"/>
        <w:jc w:val="both"/>
        <w:rPr/>
      </w:pPr>
      <w:r>
        <w:rPr>
          <w:rFonts w:cs="Arial" w:ascii="Arial" w:hAnsi="Arial"/>
          <w:color w:val="000000"/>
          <w:sz w:val="20"/>
          <w:szCs w:val="20"/>
        </w:rPr>
        <w:t>Caberá ao Pregoeiro decidir sobre a impugnação no prazo de até vinte e quatro horas.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Acolhida a impugnação, será definida e publicada nova data para a realização do certame.</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impugnações e pedidos de esclarecimentos não suspendem os prazos previstos no certame.</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respostas às impugnações e os esclarecimentos prestados pelo Pregoeiro serão entranhados nos autos do processo licitatório e estarão disponíveis para consulta por qualquer interessado.</w:t>
      </w:r>
    </w:p>
    <w:p>
      <w:pPr>
        <w:pStyle w:val="Normal"/>
        <w:numPr>
          <w:ilvl w:val="0"/>
          <w:numId w:val="1"/>
        </w:numPr>
        <w:spacing w:lineRule="auto" w:line="276" w:before="120" w:after="120"/>
        <w:ind w:left="0" w:hanging="0"/>
        <w:jc w:val="both"/>
        <w:rPr/>
      </w:pPr>
      <w:r>
        <w:rPr>
          <w:rFonts w:cs="Arial" w:ascii="Arial" w:hAnsi="Arial"/>
          <w:b/>
          <w:color w:val="000000"/>
          <w:sz w:val="20"/>
          <w:szCs w:val="20"/>
        </w:rPr>
        <w:t>DAS DISPOSIÇÕES GERAIS</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 homologação do resultado desta licitação não implicará direito à contratação.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1"/>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1"/>
        </w:numPr>
        <w:spacing w:lineRule="auto" w:line="276" w:before="120" w:after="120"/>
        <w:jc w:val="both"/>
        <w:rPr/>
      </w:pPr>
      <w:r>
        <w:rPr>
          <w:rFonts w:cs="Arial" w:ascii="Arial" w:hAnsi="Arial"/>
          <w:color w:val="000000"/>
          <w:sz w:val="20"/>
          <w:szCs w:val="20"/>
        </w:rPr>
        <w:t>O Edital está disponibilizado, na íntegra, no endereço eletrônico www.comprasgovernamentais.gov.br, e também poderão ser lidos e/ou obtidos no endereço, Av. Gentil Tavares da Mota, 1166, Bairro Getúlio Vargas-Aracaju/SE, CEP: 49.055-260, nos dias úteis, no horário das 08:00 às 12:00 e das 14:00 às 18:00 horas, no mesmo endereço e período no qual os autos do processo administrativo permanecerão com vista franqueada aos interessados.</w:t>
      </w:r>
    </w:p>
    <w:p>
      <w:pPr>
        <w:pStyle w:val="Normal"/>
        <w:widowControl/>
        <w:numPr>
          <w:ilvl w:val="1"/>
          <w:numId w:val="1"/>
        </w:numPr>
        <w:bidi w:val="0"/>
        <w:spacing w:lineRule="auto" w:line="360" w:before="120" w:after="120"/>
        <w:jc w:val="both"/>
        <w:rPr/>
      </w:pPr>
      <w:r>
        <w:rPr>
          <w:rFonts w:cs="Times New Roman" w:ascii="Century Gothic" w:hAnsi="Century Gothic"/>
          <w:b/>
          <w:color w:val="000000"/>
          <w:sz w:val="22"/>
          <w:szCs w:val="22"/>
          <w:u w:val="single"/>
        </w:rPr>
        <w:t>O Foro para solucionar possíveis litígios que decorrerem da execução do objeto desta licitação será o da Seção Judiciária de Sergipe - Justiça Federal.</w:t>
      </w:r>
    </w:p>
    <w:p>
      <w:pPr>
        <w:pStyle w:val="Normal"/>
        <w:numPr>
          <w:ilvl w:val="1"/>
          <w:numId w:val="1"/>
        </w:numPr>
        <w:spacing w:lineRule="auto" w:line="276" w:before="120" w:after="120"/>
        <w:ind w:left="425" w:hanging="0"/>
        <w:jc w:val="both"/>
        <w:rPr/>
      </w:pPr>
      <w:r>
        <w:rPr>
          <w:rFonts w:cs="Arial" w:ascii="Arial" w:hAnsi="Arial"/>
          <w:color w:val="000000"/>
          <w:sz w:val="20"/>
          <w:szCs w:val="20"/>
        </w:rPr>
        <w:t>Integram este Edital, para todos os fins e efeitos, os seguintes anexos:</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2"/>
          <w:numId w:val="1"/>
        </w:numPr>
        <w:tabs>
          <w:tab w:val="left" w:pos="1440" w:leader="none"/>
        </w:tabs>
        <w:snapToGrid w:val="false"/>
        <w:spacing w:lineRule="auto" w:line="276" w:before="120" w:after="120"/>
        <w:ind w:left="1134" w:hanging="0"/>
        <w:jc w:val="both"/>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tabs>
          <w:tab w:val="left" w:pos="1440" w:leader="none"/>
        </w:tabs>
        <w:snapToGrid w:val="false"/>
        <w:spacing w:lineRule="auto" w:line="276" w:before="120" w:after="120"/>
        <w:ind w:left="1134" w:hanging="0"/>
        <w:jc w:val="both"/>
        <w:rPr>
          <w:rFonts w:ascii="Arial" w:hAnsi="Arial" w:cs="Arial"/>
          <w:bCs/>
          <w:iCs/>
          <w:color w:val="000000"/>
          <w:sz w:val="20"/>
          <w:szCs w:val="20"/>
        </w:rPr>
      </w:pPr>
      <w:r>
        <w:rPr>
          <w:rFonts w:cs="Arial" w:ascii="Arial" w:hAnsi="Arial"/>
          <w:bCs/>
          <w:iCs/>
          <w:color w:val="000000"/>
          <w:sz w:val="20"/>
          <w:szCs w:val="20"/>
        </w:rPr>
      </w:r>
    </w:p>
    <w:p>
      <w:pPr>
        <w:pStyle w:val="Normal"/>
        <w:tabs>
          <w:tab w:val="left" w:pos="1440" w:leader="none"/>
        </w:tabs>
        <w:snapToGrid w:val="false"/>
        <w:spacing w:lineRule="auto" w:line="276" w:before="120" w:after="120"/>
        <w:ind w:left="1134" w:hanging="0"/>
        <w:jc w:val="both"/>
        <w:rPr>
          <w:rFonts w:ascii="Arial" w:hAnsi="Arial" w:cs="Arial"/>
          <w:bCs/>
          <w:iCs/>
          <w:color w:val="000000"/>
          <w:sz w:val="20"/>
          <w:szCs w:val="20"/>
        </w:rPr>
      </w:pPr>
      <w:r>
        <w:rPr>
          <w:rFonts w:cs="Arial" w:ascii="Arial" w:hAnsi="Arial"/>
          <w:bCs/>
          <w:iCs/>
          <w:color w:val="000000"/>
          <w:sz w:val="20"/>
          <w:szCs w:val="20"/>
        </w:rPr>
      </w:r>
    </w:p>
    <w:p>
      <w:pPr>
        <w:pStyle w:val="Normal"/>
        <w:tabs>
          <w:tab w:val="left" w:pos="1440" w:leader="none"/>
        </w:tabs>
        <w:snapToGrid w:val="false"/>
        <w:spacing w:lineRule="auto" w:line="276" w:before="120" w:after="120"/>
        <w:ind w:left="1134" w:hanging="0"/>
        <w:jc w:val="both"/>
        <w:rPr>
          <w:rFonts w:ascii="Arial" w:hAnsi="Arial" w:cs="Arial"/>
          <w:bCs/>
          <w:iCs/>
          <w:color w:val="000000"/>
          <w:sz w:val="20"/>
          <w:szCs w:val="20"/>
        </w:rPr>
      </w:pPr>
      <w:r>
        <w:rPr>
          <w:rFonts w:cs="Arial" w:ascii="Arial" w:hAnsi="Arial"/>
          <w:bCs/>
          <w:iCs/>
          <w:color w:val="000000"/>
          <w:sz w:val="20"/>
          <w:szCs w:val="20"/>
        </w:rPr>
      </w:r>
    </w:p>
    <w:p>
      <w:pPr>
        <w:pStyle w:val="Normal"/>
        <w:spacing w:lineRule="auto" w:line="276" w:before="0" w:after="120"/>
        <w:ind w:left="360" w:right="-15" w:hanging="0"/>
        <w:rPr/>
      </w:pPr>
      <w:r>
        <w:rPr>
          <w:rFonts w:cs="Arial" w:ascii="Arial" w:hAnsi="Arial"/>
          <w:color w:val="000000"/>
          <w:sz w:val="20"/>
          <w:szCs w:val="20"/>
        </w:rPr>
        <w:t xml:space="preserve">                           </w:t>
      </w:r>
      <w:r>
        <w:rPr>
          <w:rFonts w:cs="Arial" w:ascii="Arial" w:hAnsi="Arial"/>
          <w:color w:val="000000"/>
          <w:sz w:val="20"/>
          <w:szCs w:val="20"/>
        </w:rPr>
        <w:t>Aracaju, 23 de agosto de 2017.</w:t>
      </w:r>
    </w:p>
    <w:p>
      <w:pPr>
        <w:pStyle w:val="Normal"/>
        <w:spacing w:lineRule="auto" w:line="276" w:before="0" w:after="120"/>
        <w:ind w:left="360" w:right="-15" w:hanging="0"/>
        <w:rPr>
          <w:rFonts w:ascii="Arial" w:hAnsi="Arial" w:cs="Arial"/>
          <w:color w:val="000000"/>
          <w:sz w:val="20"/>
          <w:szCs w:val="20"/>
        </w:rPr>
      </w:pPr>
      <w:r>
        <w:rPr>
          <w:rFonts w:cs="Arial" w:ascii="Arial" w:hAnsi="Arial"/>
          <w:color w:val="000000"/>
          <w:sz w:val="20"/>
          <w:szCs w:val="20"/>
        </w:rPr>
      </w:r>
    </w:p>
    <w:p>
      <w:pPr>
        <w:pStyle w:val="Normal"/>
        <w:spacing w:lineRule="auto" w:line="276" w:before="0" w:after="120"/>
        <w:ind w:left="360" w:right="-15" w:hanging="0"/>
        <w:rPr>
          <w:rFonts w:ascii="Arial" w:hAnsi="Arial" w:cs="Arial"/>
          <w:color w:val="000000"/>
          <w:sz w:val="20"/>
          <w:szCs w:val="20"/>
        </w:rPr>
      </w:pPr>
      <w:r>
        <w:rPr>
          <w:rFonts w:cs="Arial" w:ascii="Arial" w:hAnsi="Arial"/>
          <w:color w:val="000000"/>
          <w:sz w:val="20"/>
          <w:szCs w:val="20"/>
        </w:rPr>
      </w:r>
    </w:p>
    <w:p>
      <w:pPr>
        <w:pStyle w:val="Normal"/>
        <w:spacing w:lineRule="auto" w:line="276" w:before="0" w:after="120"/>
        <w:ind w:left="360" w:right="-15" w:hanging="0"/>
        <w:rPr>
          <w:rFonts w:ascii="Arial" w:hAnsi="Arial" w:cs="Arial"/>
          <w:color w:val="000000"/>
          <w:sz w:val="20"/>
          <w:szCs w:val="20"/>
        </w:rPr>
      </w:pPr>
      <w:r>
        <w:rPr>
          <w:rFonts w:cs="Arial" w:ascii="Arial" w:hAnsi="Arial"/>
          <w:color w:val="000000"/>
          <w:sz w:val="20"/>
          <w:szCs w:val="20"/>
        </w:rPr>
      </w:r>
    </w:p>
    <w:p>
      <w:pPr>
        <w:pStyle w:val="Normal"/>
        <w:spacing w:lineRule="auto" w:line="276" w:before="0" w:after="120"/>
        <w:ind w:left="360" w:right="-15" w:hanging="0"/>
        <w:rPr>
          <w:rFonts w:ascii="Arial" w:hAnsi="Arial" w:cs="Arial"/>
          <w:color w:val="000000"/>
          <w:sz w:val="20"/>
          <w:szCs w:val="20"/>
        </w:rPr>
      </w:pPr>
      <w:r>
        <w:rPr>
          <w:rFonts w:cs="Arial" w:ascii="Arial" w:hAnsi="Arial"/>
          <w:color w:val="000000"/>
          <w:sz w:val="20"/>
          <w:szCs w:val="20"/>
        </w:rPr>
      </w:r>
    </w:p>
    <w:p>
      <w:pPr>
        <w:pStyle w:val="Normal"/>
        <w:jc w:val="center"/>
        <w:rPr/>
      </w:pPr>
      <w:r>
        <w:rPr>
          <w:rFonts w:cs="Arial" w:ascii="Arial" w:hAnsi="Arial"/>
          <w:b/>
          <w:bCs/>
          <w:iCs/>
          <w:color w:val="000000"/>
          <w:sz w:val="20"/>
          <w:szCs w:val="20"/>
        </w:rPr>
        <w:t>Assinatura da autoridade competente</w:t>
      </w:r>
    </w:p>
    <w:p>
      <w:pPr>
        <w:pStyle w:val="Normal"/>
        <w:spacing w:lineRule="atLeast" w:line="23" w:before="0" w:after="120"/>
        <w:jc w:val="center"/>
        <w:rPr/>
      </w:pPr>
      <w:r>
        <w:rPr>
          <w:rFonts w:cs="Arial" w:ascii="Calibri" w:hAnsi="Calibri" w:asciiTheme="minorHAnsi" w:hAnsiTheme="minorHAnsi"/>
          <w:b/>
          <w:bCs/>
          <w:color w:val="000000"/>
        </w:rPr>
        <w:t>TERMO DE REFERÊNCIA</w:t>
      </w:r>
    </w:p>
    <w:p>
      <w:pPr>
        <w:pStyle w:val="Normal"/>
        <w:spacing w:lineRule="atLeast" w:line="23" w:before="0" w:after="120"/>
        <w:jc w:val="center"/>
        <w:rPr/>
      </w:pPr>
      <w:r>
        <w:rPr>
          <w:rFonts w:cs="Arial" w:ascii="Calibri" w:hAnsi="Calibri" w:asciiTheme="minorHAnsi" w:hAnsiTheme="minorHAnsi"/>
          <w:bCs/>
          <w:color w:val="000000"/>
        </w:rPr>
        <w:t xml:space="preserve"> </w:t>
      </w:r>
      <w:r>
        <w:rPr>
          <w:rFonts w:cs="Arial" w:ascii="Calibri" w:hAnsi="Calibri" w:asciiTheme="minorHAnsi" w:hAnsiTheme="minorHAnsi"/>
          <w:bCs/>
          <w:color w:val="000000"/>
        </w:rPr>
        <w:t xml:space="preserve">Processo Administrativo nº 23290.000228/2017-33 </w:t>
      </w:r>
    </w:p>
    <w:p>
      <w:pPr>
        <w:pStyle w:val="Normal"/>
        <w:numPr>
          <w:ilvl w:val="0"/>
          <w:numId w:val="3"/>
        </w:numPr>
        <w:shd w:val="clear" w:color="auto" w:fill="BFBFBF" w:themeFill="background1" w:themeFillShade="bf"/>
        <w:spacing w:lineRule="atLeast" w:line="23" w:before="0" w:after="120"/>
        <w:ind w:left="567" w:right="-15" w:hanging="567"/>
        <w:jc w:val="both"/>
        <w:rPr/>
      </w:pPr>
      <w:r>
        <w:rPr>
          <w:rFonts w:cs="Arial" w:ascii="Calibri" w:hAnsi="Calibri" w:asciiTheme="minorHAnsi" w:hAnsiTheme="minorHAnsi"/>
          <w:b/>
          <w:color w:val="000000"/>
        </w:rPr>
        <w:t>DO OBJETO</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Aquisição de materiais, insumos e equipamentos para as Coordenações de Tecnologia da Informação, conforme condições, quantidades, exigências e estimativas, estabelecidas neste instrumento.</w:t>
      </w:r>
    </w:p>
    <w:tbl>
      <w:tblPr>
        <w:tblW w:w="9510" w:type="dxa"/>
        <w:jc w:val="left"/>
        <w:tblInd w:w="-2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firstRow="1" w:noVBand="1" w:lastRow="0" w:firstColumn="1" w:lastColumn="0" w:noHBand="0" w:val="04a0"/>
      </w:tblPr>
      <w:tblGrid>
        <w:gridCol w:w="795"/>
        <w:gridCol w:w="4371"/>
        <w:gridCol w:w="1133"/>
        <w:gridCol w:w="675"/>
        <w:gridCol w:w="1427"/>
        <w:gridCol w:w="1108"/>
      </w:tblGrid>
      <w:tr>
        <w:trPr>
          <w:trHeight w:val="525"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CCCFF" w:fill="808080" w:val="clear"/>
            <w:tcMar>
              <w:left w:w="60" w:type="dxa"/>
            </w:tcMar>
            <w:vAlign w:val="center"/>
          </w:tcPr>
          <w:p>
            <w:pPr>
              <w:pStyle w:val="Normal"/>
              <w:jc w:val="center"/>
              <w:rPr/>
            </w:pPr>
            <w:r>
              <w:rPr>
                <w:rFonts w:cs="Times New Roman" w:ascii="Calibri" w:hAnsi="Calibri" w:asciiTheme="minorHAnsi" w:hAnsiTheme="minorHAnsi"/>
                <w:b/>
                <w:bCs/>
              </w:rPr>
              <w:t>ITEM</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CCCFF" w:fill="808080" w:val="clear"/>
            <w:tcMar>
              <w:left w:w="60" w:type="dxa"/>
            </w:tcMar>
            <w:vAlign w:val="center"/>
          </w:tcPr>
          <w:p>
            <w:pPr>
              <w:pStyle w:val="Normal"/>
              <w:jc w:val="center"/>
              <w:rPr/>
            </w:pPr>
            <w:r>
              <w:rPr>
                <w:rFonts w:cs="Times New Roman" w:ascii="Calibri" w:hAnsi="Calibri" w:asciiTheme="minorHAnsi" w:hAnsiTheme="minorHAnsi"/>
                <w:b/>
                <w:bCs/>
              </w:rPr>
              <w:t>ESPECIFICAÇÃO RESUMIDA</w:t>
              <w:br/>
              <w:t>(Especificação detalhada dos materiais no item 2.1 do Termo de Referência)</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CCCFF" w:fill="808080" w:val="clear"/>
            <w:tcMar>
              <w:left w:w="60" w:type="dxa"/>
            </w:tcMar>
            <w:vAlign w:val="center"/>
          </w:tcPr>
          <w:p>
            <w:pPr>
              <w:pStyle w:val="Normal"/>
              <w:jc w:val="center"/>
              <w:rPr/>
            </w:pPr>
            <w:r>
              <w:rPr>
                <w:rFonts w:cs="Times New Roman" w:ascii="Calibri" w:hAnsi="Calibri" w:asciiTheme="minorHAnsi" w:hAnsiTheme="minorHAnsi"/>
                <w:b/>
                <w:bCs/>
              </w:rPr>
              <w:t>UNIDADE</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CCCFF" w:fill="808080" w:val="clear"/>
            <w:tcMar>
              <w:left w:w="60" w:type="dxa"/>
            </w:tcMar>
            <w:vAlign w:val="center"/>
          </w:tcPr>
          <w:p>
            <w:pPr>
              <w:pStyle w:val="Normal"/>
              <w:jc w:val="center"/>
              <w:rPr/>
            </w:pPr>
            <w:r>
              <w:rPr>
                <w:rFonts w:cs="Times New Roman" w:ascii="Calibri" w:hAnsi="Calibri" w:asciiTheme="minorHAnsi" w:hAnsiTheme="minorHAnsi"/>
                <w:b/>
                <w:bCs/>
              </w:rPr>
              <w:t>QTD</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CCCFF" w:fill="808080" w:val="clear"/>
            <w:tcMar>
              <w:left w:w="60" w:type="dxa"/>
            </w:tcMar>
            <w:vAlign w:val="center"/>
          </w:tcPr>
          <w:p>
            <w:pPr>
              <w:pStyle w:val="Normal"/>
              <w:jc w:val="center"/>
              <w:rPr/>
            </w:pPr>
            <w:r>
              <w:rPr>
                <w:rFonts w:cs="Times New Roman" w:ascii="Calibri" w:hAnsi="Calibri" w:asciiTheme="minorHAnsi" w:hAnsiTheme="minorHAnsi"/>
                <w:b/>
                <w:bCs/>
              </w:rPr>
              <w:t>VALOR</w:t>
            </w:r>
          </w:p>
          <w:p>
            <w:pPr>
              <w:pStyle w:val="Normal"/>
              <w:jc w:val="center"/>
              <w:rPr/>
            </w:pPr>
            <w:r>
              <w:rPr>
                <w:rFonts w:cs="Times New Roman" w:ascii="Calibri" w:hAnsi="Calibri" w:asciiTheme="minorHAnsi" w:hAnsiTheme="minorHAnsi"/>
                <w:b/>
                <w:bCs/>
              </w:rPr>
              <w:t xml:space="preserve"> </w:t>
            </w:r>
            <w:r>
              <w:rPr>
                <w:rFonts w:cs="Times New Roman" w:ascii="Calibri" w:hAnsi="Calibri" w:asciiTheme="minorHAnsi" w:hAnsiTheme="minorHAnsi"/>
                <w:b/>
                <w:bCs/>
              </w:rPr>
              <w:t>UNITÁRIO (R$)</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CCCFF" w:fill="808080" w:val="clear"/>
            <w:tcMar>
              <w:left w:w="60" w:type="dxa"/>
            </w:tcMar>
            <w:vAlign w:val="center"/>
          </w:tcPr>
          <w:p>
            <w:pPr>
              <w:pStyle w:val="Normal"/>
              <w:jc w:val="center"/>
              <w:rPr/>
            </w:pPr>
            <w:r>
              <w:rPr>
                <w:rFonts w:ascii="Calibri" w:hAnsi="Calibri"/>
                <w:b/>
                <w:bCs/>
              </w:rPr>
              <w:t>VALOR TOTAL (R$)</w:t>
            </w:r>
          </w:p>
        </w:tc>
      </w:tr>
      <w:tr>
        <w:trPr>
          <w:trHeight w:val="578"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Arial" w:ascii="Calibri" w:hAnsi="Calibri" w:asciiTheme="minorHAnsi" w:hAnsiTheme="minorHAnsi"/>
                <w:bCs/>
                <w:caps/>
              </w:rPr>
              <w:t>1</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both"/>
              <w:rPr/>
            </w:pPr>
            <w:r>
              <w:rPr>
                <w:rFonts w:cs="Arial" w:ascii="Calibri" w:hAnsi="Calibri" w:asciiTheme="minorHAnsi" w:hAnsiTheme="minorHAnsi"/>
              </w:rPr>
              <w:t>Soprador térmico 1800 watts + acessórios e maleta.</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0" w:type="dxa"/>
            </w:tcMar>
            <w:vAlign w:val="center"/>
          </w:tcPr>
          <w:p>
            <w:pPr>
              <w:pStyle w:val="Normal"/>
              <w:jc w:val="center"/>
              <w:rPr/>
            </w:pPr>
            <w:r>
              <w:rPr>
                <w:rFonts w:cs="Times New Roman" w:ascii="Calibri" w:hAnsi="Calibri" w:asciiTheme="minorHAnsi" w:hAnsiTheme="minorHAnsi"/>
              </w:rPr>
              <w:t>UN</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Times New Roman" w:ascii="Calibri" w:hAnsi="Calibri" w:asciiTheme="minorHAnsi" w:hAnsiTheme="minorHAnsi"/>
              </w:rPr>
              <w:t>01</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right"/>
              <w:rPr/>
            </w:pPr>
            <w:r>
              <w:rPr>
                <w:rFonts w:cs="Times New Roman" w:ascii="Calibri" w:hAnsi="Calibri"/>
              </w:rPr>
              <w:t>199,00</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right"/>
              <w:rPr/>
            </w:pPr>
            <w:r>
              <w:rPr>
                <w:rFonts w:cs="Times New Roman" w:ascii="Calibri" w:hAnsi="Calibri"/>
              </w:rPr>
              <w:t>199,00</w:t>
            </w:r>
          </w:p>
        </w:tc>
      </w:tr>
      <w:tr>
        <w:trPr>
          <w:trHeight w:val="397"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60" w:type="dxa"/>
            </w:tcMar>
            <w:vAlign w:val="center"/>
          </w:tcPr>
          <w:p>
            <w:pPr>
              <w:pStyle w:val="Normal"/>
              <w:jc w:val="center"/>
              <w:rPr/>
            </w:pPr>
            <w:r>
              <w:rPr>
                <w:rFonts w:cs="Arial" w:ascii="Calibri" w:hAnsi="Calibri" w:asciiTheme="minorHAnsi" w:hAnsiTheme="minorHAnsi"/>
                <w:bCs/>
                <w:caps/>
              </w:rPr>
              <w:t>2</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rPr/>
            </w:pPr>
            <w:r>
              <w:rPr>
                <w:rFonts w:cs="Arial" w:ascii="Calibri" w:hAnsi="Calibri" w:asciiTheme="minorHAnsi" w:hAnsiTheme="minorHAnsi"/>
              </w:rPr>
              <w:t>Estação de Solda.</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center"/>
              <w:rPr/>
            </w:pPr>
            <w:r>
              <w:rPr>
                <w:rFonts w:cs="Times New Roman" w:ascii="Calibri" w:hAnsi="Calibri" w:asciiTheme="minorHAnsi" w:hAnsiTheme="minorHAnsi"/>
              </w:rPr>
              <w:t>UN</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center"/>
              <w:rPr/>
            </w:pPr>
            <w:r>
              <w:rPr>
                <w:rFonts w:cs="Times New Roman" w:ascii="Calibri" w:hAnsi="Calibri" w:asciiTheme="minorHAnsi" w:hAnsiTheme="minorHAnsi"/>
              </w:rPr>
              <w:t>01</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rPr>
              <w:t>708,47</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rPr>
              <w:t>708,47</w:t>
            </w:r>
          </w:p>
        </w:tc>
      </w:tr>
      <w:tr>
        <w:trPr>
          <w:trHeight w:val="397"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Arial" w:ascii="Calibri" w:hAnsi="Calibri" w:asciiTheme="minorHAnsi" w:hAnsiTheme="minorHAnsi"/>
                <w:bCs/>
                <w:caps/>
              </w:rPr>
              <w:t>3</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both"/>
              <w:rPr/>
            </w:pPr>
            <w:r>
              <w:rPr>
                <w:rFonts w:cs="Times-Bold" w:ascii="Calibri" w:hAnsi="Calibri" w:asciiTheme="minorHAnsi" w:hAnsiTheme="minorHAnsi"/>
                <w:bCs/>
              </w:rPr>
              <w:t>Kit Rotulador Eletrônico.</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Times New Roman" w:ascii="Calibri" w:hAnsi="Calibri" w:asciiTheme="minorHAnsi" w:hAnsiTheme="minorHAnsi"/>
              </w:rPr>
              <w:t>UN</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Times New Roman" w:ascii="Calibri" w:hAnsi="Calibri" w:asciiTheme="minorHAnsi" w:hAnsiTheme="minorHAnsi"/>
              </w:rPr>
              <w:t>02</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right"/>
              <w:rPr/>
            </w:pPr>
            <w:r>
              <w:rPr>
                <w:rFonts w:cs="Times New Roman" w:ascii="Calibri" w:hAnsi="Calibri"/>
              </w:rPr>
              <w:t>299,49</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right"/>
              <w:rPr/>
            </w:pPr>
            <w:r>
              <w:rPr>
                <w:rFonts w:cs="Times New Roman" w:ascii="Calibri" w:hAnsi="Calibri"/>
              </w:rPr>
              <w:t>598,98</w:t>
            </w:r>
          </w:p>
        </w:tc>
      </w:tr>
      <w:tr>
        <w:trPr>
          <w:trHeight w:val="397"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60" w:type="dxa"/>
            </w:tcMar>
            <w:vAlign w:val="center"/>
          </w:tcPr>
          <w:p>
            <w:pPr>
              <w:pStyle w:val="Normal"/>
              <w:jc w:val="center"/>
              <w:rPr/>
            </w:pPr>
            <w:r>
              <w:rPr>
                <w:rFonts w:cs="Arial" w:ascii="Calibri" w:hAnsi="Calibri" w:asciiTheme="minorHAnsi" w:hAnsiTheme="minorHAnsi"/>
                <w:bCs/>
                <w:caps/>
              </w:rPr>
              <w:t>4</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both"/>
              <w:rPr/>
            </w:pPr>
            <w:r>
              <w:rPr>
                <w:rFonts w:cs="Arial" w:ascii="Calibri" w:hAnsi="Calibri" w:asciiTheme="minorHAnsi" w:hAnsiTheme="minorHAnsi"/>
              </w:rPr>
              <w:t>Kit Ferramenta Manutenção de Computador 42 peças.</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center"/>
              <w:rPr/>
            </w:pPr>
            <w:r>
              <w:rPr>
                <w:rFonts w:cs="Times New Roman" w:ascii="Calibri" w:hAnsi="Calibri" w:asciiTheme="minorHAnsi" w:hAnsiTheme="minorHAnsi"/>
                <w:color w:val="000000"/>
              </w:rPr>
              <w:t>UN</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center"/>
              <w:rPr/>
            </w:pPr>
            <w:r>
              <w:rPr>
                <w:rFonts w:cs="Times New Roman" w:ascii="Calibri" w:hAnsi="Calibri" w:asciiTheme="minorHAnsi" w:hAnsiTheme="minorHAnsi"/>
              </w:rPr>
              <w:t>04</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rPr>
              <w:t>116,00</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rPr>
              <w:t>464,00</w:t>
            </w:r>
          </w:p>
        </w:tc>
      </w:tr>
      <w:tr>
        <w:trPr>
          <w:trHeight w:val="397"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Arial" w:ascii="Calibri" w:hAnsi="Calibri" w:asciiTheme="minorHAnsi" w:hAnsiTheme="minorHAnsi"/>
                <w:bCs/>
                <w:caps/>
              </w:rPr>
              <w:t>5</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both"/>
              <w:rPr/>
            </w:pPr>
            <w:r>
              <w:rPr>
                <w:rFonts w:ascii="Calibri" w:hAnsi="Calibri" w:asciiTheme="minorHAnsi" w:hAnsiTheme="minorHAnsi"/>
                <w:bCs/>
              </w:rPr>
              <w:t>Aspirador/jateador de pó para microcomputador</w:t>
            </w:r>
            <w:r>
              <w:rPr>
                <w:rFonts w:ascii="Calibri" w:hAnsi="Calibri" w:asciiTheme="minorHAnsi" w:hAnsiTheme="minorHAnsi"/>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center"/>
              <w:rPr/>
            </w:pPr>
            <w:r>
              <w:rPr>
                <w:rFonts w:cs="Times New Roman" w:ascii="Calibri" w:hAnsi="Calibri" w:asciiTheme="minorHAnsi" w:hAnsiTheme="minorHAnsi"/>
              </w:rPr>
              <w:t>UN</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60" w:type="dxa"/>
            </w:tcMar>
            <w:vAlign w:val="center"/>
          </w:tcPr>
          <w:p>
            <w:pPr>
              <w:pStyle w:val="Normal"/>
              <w:jc w:val="center"/>
              <w:rPr/>
            </w:pPr>
            <w:r>
              <w:rPr>
                <w:rFonts w:cs="Times New Roman" w:ascii="Calibri" w:hAnsi="Calibri" w:asciiTheme="minorHAnsi" w:hAnsiTheme="minorHAnsi"/>
              </w:rPr>
              <w:t>04</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right"/>
              <w:rPr/>
            </w:pPr>
            <w:r>
              <w:rPr>
                <w:rFonts w:cs="Times New Roman" w:ascii="Calibri" w:hAnsi="Calibri"/>
              </w:rPr>
              <w:t>176,70</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FFFFFF" w:val="clear"/>
            <w:tcMar>
              <w:left w:w="60" w:type="dxa"/>
            </w:tcMar>
            <w:vAlign w:val="center"/>
          </w:tcPr>
          <w:p>
            <w:pPr>
              <w:pStyle w:val="Normal"/>
              <w:jc w:val="right"/>
              <w:rPr/>
            </w:pPr>
            <w:r>
              <w:rPr>
                <w:rFonts w:cs="Times New Roman" w:ascii="Calibri" w:hAnsi="Calibri"/>
              </w:rPr>
              <w:t>706,80</w:t>
            </w:r>
          </w:p>
        </w:tc>
      </w:tr>
      <w:tr>
        <w:trPr>
          <w:trHeight w:val="397"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60" w:type="dxa"/>
            </w:tcMar>
            <w:vAlign w:val="center"/>
          </w:tcPr>
          <w:p>
            <w:pPr>
              <w:pStyle w:val="Normal"/>
              <w:jc w:val="center"/>
              <w:rPr/>
            </w:pPr>
            <w:r>
              <w:rPr>
                <w:rFonts w:cs="Arial" w:ascii="Calibri" w:hAnsi="Calibri" w:asciiTheme="minorHAnsi" w:hAnsiTheme="minorHAnsi"/>
                <w:bCs/>
                <w:caps/>
              </w:rPr>
              <w:t>6</w:t>
            </w:r>
          </w:p>
        </w:tc>
        <w:tc>
          <w:tcPr>
            <w:tcW w:w="4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rPr/>
            </w:pPr>
            <w:r>
              <w:rPr>
                <w:rFonts w:cs="Arial" w:ascii="Calibri" w:hAnsi="Calibri" w:asciiTheme="minorHAnsi" w:hAnsiTheme="minorHAnsi"/>
              </w:rPr>
              <w:t>Multímetro Digital de Mesa com Teste de Rede e Usb.</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center"/>
              <w:rPr/>
            </w:pPr>
            <w:r>
              <w:rPr>
                <w:rFonts w:cs="Times New Roman" w:ascii="Calibri" w:hAnsi="Calibri" w:asciiTheme="minorHAnsi" w:hAnsiTheme="minorHAnsi"/>
              </w:rPr>
              <w:t>UN</w:t>
            </w:r>
          </w:p>
        </w:tc>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center"/>
              <w:rPr/>
            </w:pPr>
            <w:r>
              <w:rPr>
                <w:rFonts w:cs="Times New Roman" w:ascii="Calibri" w:hAnsi="Calibri" w:asciiTheme="minorHAnsi" w:hAnsiTheme="minorHAnsi"/>
              </w:rPr>
              <w:t>04</w:t>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rPr>
              <w:t>522,60</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rPr>
              <w:t>522,60</w:t>
            </w:r>
          </w:p>
        </w:tc>
      </w:tr>
      <w:tr>
        <w:trPr>
          <w:trHeight w:val="397" w:hRule="atLeast"/>
        </w:trPr>
        <w:tc>
          <w:tcPr>
            <w:tcW w:w="840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C0C0C0" w:fill="B7DEE8" w:val="clear"/>
            <w:tcMar>
              <w:left w:w="60" w:type="dxa"/>
            </w:tcMar>
            <w:vAlign w:val="center"/>
          </w:tcPr>
          <w:p>
            <w:pPr>
              <w:pStyle w:val="Normal"/>
              <w:jc w:val="center"/>
              <w:rPr/>
            </w:pPr>
            <w:r>
              <w:rPr>
                <w:b/>
                <w:bCs/>
              </w:rPr>
              <w:t>TOTAL</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B7DEE8" w:val="clear"/>
            <w:tcMar>
              <w:left w:w="60" w:type="dxa"/>
            </w:tcMar>
            <w:vAlign w:val="center"/>
          </w:tcPr>
          <w:p>
            <w:pPr>
              <w:pStyle w:val="Normal"/>
              <w:jc w:val="right"/>
              <w:rPr/>
            </w:pPr>
            <w:r>
              <w:rPr>
                <w:rFonts w:cs="Times New Roman" w:ascii="Calibri" w:hAnsi="Calibri"/>
                <w:b/>
                <w:bCs/>
              </w:rPr>
              <w:t>3.199,85</w:t>
            </w:r>
          </w:p>
        </w:tc>
      </w:tr>
    </w:tbl>
    <w:p>
      <w:pPr>
        <w:pStyle w:val="ListParagraph"/>
        <w:widowControl w:val="false"/>
        <w:suppressAutoHyphens w:val="true"/>
        <w:spacing w:lineRule="atLeast" w:line="23" w:before="0" w:after="120"/>
        <w:ind w:left="567" w:hanging="0"/>
        <w:contextualSpacing/>
        <w:jc w:val="both"/>
        <w:rPr>
          <w:rFonts w:ascii="Calibri" w:hAnsi="Calibri" w:asciiTheme="minorHAnsi" w:hAnsiTheme="minorHAnsi"/>
          <w:b/>
          <w:b/>
          <w:bCs/>
          <w:caps/>
        </w:rPr>
      </w:pPr>
      <w:r>
        <w:rPr>
          <w:rFonts w:asciiTheme="minorHAnsi" w:hAnsiTheme="minorHAnsi" w:ascii="Calibri" w:hAnsi="Calibri"/>
          <w:b/>
          <w:bCs/>
          <w:caps/>
        </w:rPr>
      </w:r>
    </w:p>
    <w:p>
      <w:pPr>
        <w:pStyle w:val="ListParagraph"/>
        <w:widowControl w:val="false"/>
        <w:numPr>
          <w:ilvl w:val="1"/>
          <w:numId w:val="3"/>
        </w:numPr>
        <w:suppressAutoHyphens w:val="true"/>
        <w:spacing w:lineRule="atLeast" w:line="23" w:before="0" w:after="120"/>
        <w:ind w:left="567" w:hanging="567"/>
        <w:contextualSpacing/>
        <w:jc w:val="both"/>
        <w:rPr/>
      </w:pPr>
      <w:r>
        <w:rPr>
          <w:rFonts w:ascii="Calibri" w:hAnsi="Calibri" w:asciiTheme="minorHAnsi" w:hAnsiTheme="minorHAnsi"/>
          <w:b/>
          <w:bCs/>
        </w:rPr>
        <w:t>Especificação detalhada dos itens.</w:t>
      </w:r>
    </w:p>
    <w:p>
      <w:pPr>
        <w:pStyle w:val="ListParagraph"/>
        <w:numPr>
          <w:ilvl w:val="0"/>
          <w:numId w:val="2"/>
        </w:numPr>
        <w:tabs>
          <w:tab w:val="left" w:pos="1418" w:leader="none"/>
        </w:tabs>
        <w:spacing w:lineRule="atLeast" w:line="23" w:before="0" w:after="120"/>
        <w:ind w:left="567" w:hanging="567"/>
        <w:contextualSpacing/>
        <w:jc w:val="both"/>
        <w:rPr/>
      </w:pPr>
      <w:r>
        <w:rPr>
          <w:rFonts w:cs="Arial" w:ascii="Calibri" w:hAnsi="Calibri" w:asciiTheme="minorHAnsi" w:hAnsiTheme="minorHAnsi"/>
          <w:b/>
        </w:rPr>
        <w:t xml:space="preserve">SOPRADOR TÉRMICO 1800 WATTS + ACESSÓRIOS E MALETA: </w:t>
      </w:r>
      <w:r>
        <w:rPr>
          <w:rFonts w:cs="Arial" w:ascii="Calibri" w:hAnsi="Calibri" w:asciiTheme="minorHAnsi" w:hAnsiTheme="minorHAnsi"/>
        </w:rPr>
        <w:t>Soprador térmico 1800 watts + acessórios e maleta: inclui: 1 Bocal Grande,  1 Bocal pequeno,  1 Espátula, Removedor de pintura/vidros e Maleta plástica, 127 volts.</w:t>
      </w:r>
    </w:p>
    <w:p>
      <w:pPr>
        <w:pStyle w:val="ListParagraph"/>
        <w:tabs>
          <w:tab w:val="left" w:pos="1418" w:leader="none"/>
        </w:tabs>
        <w:spacing w:lineRule="atLeast" w:line="23" w:before="0" w:after="120"/>
        <w:ind w:left="567" w:hanging="0"/>
        <w:contextualSpacing/>
        <w:jc w:val="both"/>
        <w:rPr>
          <w:rFonts w:ascii="Calibri" w:hAnsi="Calibri" w:asciiTheme="minorHAnsi" w:hAnsiTheme="minorHAnsi"/>
        </w:rPr>
      </w:pPr>
      <w:r>
        <w:rPr>
          <w:rFonts w:asciiTheme="minorHAnsi" w:hAnsiTheme="minorHAnsi" w:ascii="Calibri" w:hAnsi="Calibri"/>
        </w:rPr>
      </w:r>
    </w:p>
    <w:p>
      <w:pPr>
        <w:pStyle w:val="ListParagraph"/>
        <w:numPr>
          <w:ilvl w:val="0"/>
          <w:numId w:val="2"/>
        </w:numPr>
        <w:spacing w:lineRule="atLeast" w:line="23" w:before="0" w:after="120"/>
        <w:ind w:left="567" w:hanging="567"/>
        <w:contextualSpacing/>
        <w:jc w:val="both"/>
        <w:rPr/>
      </w:pPr>
      <w:r>
        <w:rPr>
          <w:rFonts w:cs="Arial" w:ascii="Calibri" w:hAnsi="Calibri" w:asciiTheme="minorHAnsi" w:hAnsiTheme="minorHAnsi"/>
          <w:b/>
        </w:rPr>
        <w:t xml:space="preserve">ESTAÇÃO DE SOLDA: </w:t>
      </w:r>
      <w:r>
        <w:rPr>
          <w:rFonts w:cs="Arial" w:ascii="Calibri" w:hAnsi="Calibri" w:asciiTheme="minorHAnsi" w:hAnsiTheme="minorHAnsi"/>
        </w:rPr>
        <w:t xml:space="preserve">Ferro Solda Regulável Profissional, </w:t>
      </w:r>
      <w:r>
        <w:rPr>
          <w:rStyle w:val="Strong"/>
          <w:rFonts w:cs="Arial" w:ascii="Calibri" w:hAnsi="Calibri" w:asciiTheme="minorHAnsi" w:hAnsiTheme="minorHAnsi"/>
          <w:b w:val="false"/>
        </w:rPr>
        <w:t>Características técnicas:</w:t>
      </w:r>
      <w:r>
        <w:rPr>
          <w:rFonts w:cs="Arial" w:ascii="Calibri" w:hAnsi="Calibri" w:asciiTheme="minorHAnsi" w:hAnsiTheme="minorHAnsi"/>
        </w:rPr>
        <w:t xml:space="preserve"> Gabinete antieletrostática (ESD), temp. ajustável 200 a 480ºC, resistência cerâmica 48W / 24 VAC, consumo 60W, Ponta aterrada e intercambiável, dimensões 170x120x93mm, peso: 1,4kg aprox., tensão: 127 V.</w:t>
      </w:r>
    </w:p>
    <w:p>
      <w:pPr>
        <w:pStyle w:val="ListParagraph"/>
        <w:rPr>
          <w:rFonts w:ascii="Calibri" w:hAnsi="Calibri" w:asciiTheme="minorHAnsi" w:hAnsiTheme="minorHAnsi"/>
        </w:rPr>
      </w:pPr>
      <w:r>
        <w:rPr>
          <w:rFonts w:asciiTheme="minorHAnsi" w:hAnsiTheme="minorHAnsi" w:ascii="Calibri" w:hAnsi="Calibri"/>
        </w:rPr>
      </w:r>
    </w:p>
    <w:p>
      <w:pPr>
        <w:pStyle w:val="ListParagraph"/>
        <w:numPr>
          <w:ilvl w:val="0"/>
          <w:numId w:val="2"/>
        </w:numPr>
        <w:ind w:left="567" w:hanging="567"/>
        <w:jc w:val="both"/>
        <w:rPr/>
      </w:pPr>
      <w:r>
        <w:rPr>
          <w:rFonts w:cs="Times-Bold" w:ascii="Calibri" w:hAnsi="Calibri" w:asciiTheme="minorHAnsi" w:hAnsiTheme="minorHAnsi"/>
          <w:b/>
          <w:bCs/>
        </w:rPr>
        <w:t>KIT ROTULADOR ELETRÔNICO</w:t>
      </w:r>
      <w:r>
        <w:rPr>
          <w:rStyle w:val="Tex3"/>
          <w:rFonts w:cs="Arial" w:ascii="Calibri" w:hAnsi="Calibri" w:asciiTheme="minorHAnsi" w:hAnsiTheme="minorHAnsi"/>
          <w:b/>
        </w:rPr>
        <w:t>:</w:t>
      </w:r>
      <w:r>
        <w:rPr>
          <w:rStyle w:val="Tex3"/>
          <w:rFonts w:cs="Arial" w:ascii="Calibri" w:hAnsi="Calibri" w:asciiTheme="minorHAnsi" w:hAnsiTheme="minorHAnsi"/>
        </w:rPr>
        <w:t xml:space="preserve"> </w:t>
      </w:r>
      <w:r>
        <w:rPr>
          <w:rFonts w:cs="Times-Roman" w:ascii="Calibri" w:hAnsi="Calibri" w:asciiTheme="minorHAnsi" w:hAnsiTheme="minorHAnsi"/>
        </w:rPr>
        <w:t>Portátil com: 20 fitas tipo M (não laminada) comprimento 8m, largura 12mm, preto no fundo branco, numero de linhas: 2, resolução 230dpi ou superior, altura máxima de impressão 7mm, display 12 carcteresx1 linha, cortador manual ou automático, alimentação 4 pilhas AAAA</w:t>
      </w:r>
      <w:r>
        <w:rPr>
          <w:rStyle w:val="Tex3"/>
          <w:rFonts w:cs="Arial" w:ascii="Calibri" w:hAnsi="Calibri" w:asciiTheme="minorHAnsi" w:hAnsiTheme="minorHAnsi"/>
        </w:rPr>
        <w:t>.</w:t>
      </w:r>
    </w:p>
    <w:p>
      <w:pPr>
        <w:pStyle w:val="ListParagraph"/>
        <w:ind w:left="567" w:hanging="0"/>
        <w:jc w:val="both"/>
        <w:rPr>
          <w:rStyle w:val="Tex3"/>
          <w:rFonts w:ascii="Calibri" w:hAnsi="Calibri" w:cs="Times-Roman" w:asciiTheme="minorHAnsi" w:hAnsiTheme="minorHAnsi"/>
        </w:rPr>
      </w:pPr>
      <w:r>
        <w:rPr>
          <w:rFonts w:cs="Times-Roman" w:ascii="Calibri" w:hAnsi="Calibri"/>
        </w:rPr>
      </w:r>
    </w:p>
    <w:p>
      <w:pPr>
        <w:pStyle w:val="ListParagraph"/>
        <w:numPr>
          <w:ilvl w:val="0"/>
          <w:numId w:val="2"/>
        </w:numPr>
        <w:tabs>
          <w:tab w:val="left" w:pos="1418" w:leader="none"/>
        </w:tabs>
        <w:spacing w:lineRule="atLeast" w:line="23" w:before="0" w:after="120"/>
        <w:ind w:left="567" w:hanging="567"/>
        <w:contextualSpacing/>
        <w:jc w:val="both"/>
        <w:rPr/>
      </w:pPr>
      <w:r>
        <w:rPr>
          <w:rFonts w:cs="Arial" w:ascii="Calibri" w:hAnsi="Calibri" w:asciiTheme="minorHAnsi" w:hAnsiTheme="minorHAnsi"/>
          <w:b/>
        </w:rPr>
        <w:t>KIT FERRAMENTA MANUTENÇÃO DE COMPUTADOR 42 PEÇAS:</w:t>
      </w:r>
      <w:r>
        <w:rPr>
          <w:rFonts w:cs="Arial" w:ascii="Calibri" w:hAnsi="Calibri" w:asciiTheme="minorHAnsi" w:hAnsiTheme="minorHAnsi"/>
        </w:rPr>
        <w:t xml:space="preserve"> 01 Chave reversível com 3 posições, 01 Ferramenta de auxílio de solda, 08 Chaves allen, 01 Jogo de 20 lacres, 01 Extensão, 04 Micro chaves de precisão ( 0, 1.2, 1.8, 2.4), 01 Adaptador, 02 Adaptadores para chave 1/4" e 3/16", 01 Chave inglesa 150mm, 01 Caixa para peças sobressalentes, 01 Pinça anti-estatica de 3 dentes, 01 Pinça de chip anti-estática, 01 Pinça T1 para soltar e segurar,01 Extrator de chip anti-estática, 01 Insersor de chip anti-estatica, 01 Cortador e descascador de fios, 01 Alicate de bico fino com corte, 01 Alicate de corte diagonal, 01 Ferro de soldar 30w 110v, 01 Rolo de Estanho para solda, 10 Chaves adaptadores: T10, T15, T20, T25, PH1, PH2, PH3, 5mm, 6mm, 7mm</w:t>
      </w:r>
      <w:r>
        <w:rPr>
          <w:rFonts w:ascii="Calibri" w:hAnsi="Calibri" w:asciiTheme="minorHAnsi" w:hAnsiTheme="minorHAnsi"/>
        </w:rPr>
        <w:t>.</w:t>
      </w:r>
    </w:p>
    <w:p>
      <w:pPr>
        <w:pStyle w:val="ListParagraph"/>
        <w:tabs>
          <w:tab w:val="left" w:pos="1418" w:leader="none"/>
        </w:tabs>
        <w:spacing w:lineRule="atLeast" w:line="23" w:before="0" w:after="120"/>
        <w:ind w:left="567" w:hanging="0"/>
        <w:contextualSpacing/>
        <w:jc w:val="both"/>
        <w:rPr>
          <w:rFonts w:ascii="Calibri" w:hAnsi="Calibri" w:asciiTheme="minorHAnsi" w:hAnsiTheme="minorHAnsi"/>
        </w:rPr>
      </w:pPr>
      <w:r>
        <w:rPr>
          <w:rFonts w:asciiTheme="minorHAnsi" w:hAnsiTheme="minorHAnsi" w:ascii="Calibri" w:hAnsi="Calibri"/>
        </w:rPr>
      </w:r>
    </w:p>
    <w:p>
      <w:pPr>
        <w:pStyle w:val="ListParagraph"/>
        <w:numPr>
          <w:ilvl w:val="0"/>
          <w:numId w:val="2"/>
        </w:numPr>
        <w:tabs>
          <w:tab w:val="left" w:pos="1418" w:leader="none"/>
        </w:tabs>
        <w:spacing w:lineRule="atLeast" w:line="23" w:before="0" w:after="120"/>
        <w:ind w:left="567" w:hanging="567"/>
        <w:contextualSpacing/>
        <w:jc w:val="both"/>
        <w:rPr/>
      </w:pPr>
      <w:r>
        <w:rPr>
          <w:rFonts w:ascii="Calibri" w:hAnsi="Calibri" w:asciiTheme="minorHAnsi" w:hAnsiTheme="minorHAnsi"/>
          <w:b/>
          <w:bCs/>
        </w:rPr>
        <w:t>ASPIRADOR/JATEADOR DE PÓ PARA MICROCOMPUTADOR</w:t>
      </w:r>
      <w:r>
        <w:rPr>
          <w:rFonts w:ascii="Calibri" w:hAnsi="Calibri" w:asciiTheme="minorHAnsi" w:hAnsiTheme="minorHAnsi"/>
        </w:rPr>
        <w:t>: Aspirador e jateador de ar, com bicos intercambiáveis, 2 jogos de filtros e unidades sobressalentes de filtragem, tensão 110V</w:t>
      </w:r>
      <w:r>
        <w:rPr>
          <w:rFonts w:cs="Arial" w:ascii="Calibri" w:hAnsi="Calibri" w:asciiTheme="minorHAnsi" w:hAnsiTheme="minorHAnsi"/>
        </w:rPr>
        <w:t>.</w:t>
      </w:r>
    </w:p>
    <w:p>
      <w:pPr>
        <w:pStyle w:val="ListParagraph"/>
        <w:tabs>
          <w:tab w:val="left" w:pos="1418" w:leader="none"/>
        </w:tabs>
        <w:spacing w:lineRule="atLeast" w:line="23" w:before="0" w:after="120"/>
        <w:ind w:left="567" w:hanging="0"/>
        <w:contextualSpacing/>
        <w:jc w:val="both"/>
        <w:rPr>
          <w:rFonts w:ascii="Calibri" w:hAnsi="Calibri" w:asciiTheme="minorHAnsi" w:hAnsiTheme="minorHAnsi"/>
        </w:rPr>
      </w:pPr>
      <w:r>
        <w:rPr>
          <w:rFonts w:asciiTheme="minorHAnsi" w:hAnsiTheme="minorHAnsi" w:ascii="Calibri" w:hAnsi="Calibri"/>
        </w:rPr>
      </w:r>
    </w:p>
    <w:p>
      <w:pPr>
        <w:pStyle w:val="ListParagraph"/>
        <w:numPr>
          <w:ilvl w:val="0"/>
          <w:numId w:val="2"/>
        </w:numPr>
        <w:ind w:left="567" w:hanging="567"/>
        <w:rPr/>
      </w:pPr>
      <w:r>
        <w:rPr>
          <w:rFonts w:cs="Arial" w:ascii="Calibri" w:hAnsi="Calibri" w:asciiTheme="minorHAnsi" w:hAnsiTheme="minorHAnsi"/>
          <w:b/>
        </w:rPr>
        <w:t xml:space="preserve">MULTÍMETRO DIGITAL DE MESA COM TESTE DE REDE E USB: </w:t>
      </w:r>
      <w:r>
        <w:rPr>
          <w:rStyle w:val="Strong"/>
          <w:rFonts w:cs="Arial" w:ascii="Calibri" w:hAnsi="Calibri" w:asciiTheme="minorHAnsi" w:hAnsiTheme="minorHAnsi"/>
          <w:b w:val="false"/>
        </w:rPr>
        <w:t>Medição de DC : 0-200mv a 1.000V (+-0,5%),</w:t>
      </w:r>
      <w:r>
        <w:rPr>
          <w:rFonts w:cs="Arial" w:ascii="Calibri" w:hAnsi="Calibri" w:asciiTheme="minorHAnsi" w:hAnsiTheme="minorHAnsi"/>
        </w:rPr>
        <w:t xml:space="preserve"> </w:t>
      </w:r>
      <w:r>
        <w:rPr>
          <w:rStyle w:val="Strong"/>
          <w:rFonts w:cs="Arial" w:ascii="Calibri" w:hAnsi="Calibri" w:asciiTheme="minorHAnsi" w:hAnsiTheme="minorHAnsi"/>
          <w:b w:val="false"/>
        </w:rPr>
        <w:t>Medição de AC : 0-2 a 750V (+-1,2%), Medição de corrente : 0 - 20ma a 20A(+-1,0%), Medição de resistência : 0-200ohms a 2.000Kohms (+-0,80%), Teste de diodo, Teste de cabo : RJ11, RJ12, RJ45 e USB, Teste de continuidade : aviso sonoro e visual</w:t>
      </w:r>
      <w:r>
        <w:rPr>
          <w:rFonts w:cs="Arial" w:ascii="Calibri" w:hAnsi="Calibri" w:asciiTheme="minorHAnsi" w:hAnsiTheme="minorHAnsi"/>
        </w:rPr>
        <w:t>.</w:t>
      </w:r>
    </w:p>
    <w:p>
      <w:pPr>
        <w:pStyle w:val="ListParagraph"/>
        <w:rPr>
          <w:rFonts w:ascii="Calibri" w:hAnsi="Calibri" w:asciiTheme="minorHAnsi" w:hAnsiTheme="minorHAnsi"/>
        </w:rPr>
      </w:pPr>
      <w:r>
        <w:rPr>
          <w:rFonts w:asciiTheme="minorHAnsi" w:hAnsiTheme="minorHAnsi" w:ascii="Calibri" w:hAnsi="Calibri"/>
        </w:rPr>
      </w:r>
    </w:p>
    <w:p>
      <w:pPr>
        <w:pStyle w:val="ListParagraph"/>
        <w:numPr>
          <w:ilvl w:val="1"/>
          <w:numId w:val="3"/>
        </w:numPr>
        <w:spacing w:lineRule="atLeast" w:line="23" w:before="0" w:after="120"/>
        <w:ind w:left="567" w:hanging="567"/>
        <w:contextualSpacing/>
        <w:jc w:val="both"/>
        <w:rPr/>
      </w:pPr>
      <w:r>
        <w:rPr>
          <w:rFonts w:cs="Arial" w:ascii="Calibri" w:hAnsi="Calibri" w:asciiTheme="minorHAnsi" w:hAnsiTheme="minorHAnsi"/>
        </w:rPr>
        <w:t>O item 06 deverá ser:</w:t>
      </w:r>
    </w:p>
    <w:p>
      <w:pPr>
        <w:pStyle w:val="ListParagraph"/>
        <w:numPr>
          <w:ilvl w:val="2"/>
          <w:numId w:val="3"/>
        </w:numPr>
        <w:spacing w:lineRule="atLeast" w:line="23" w:before="0" w:after="120"/>
        <w:ind w:left="1134" w:hanging="850"/>
        <w:contextualSpacing/>
        <w:jc w:val="both"/>
        <w:rPr/>
      </w:pPr>
      <w:r>
        <w:rPr>
          <w:rFonts w:cs="Arial" w:ascii="Calibri" w:hAnsi="Calibri" w:asciiTheme="minorHAnsi" w:hAnsiTheme="minorHAnsi"/>
        </w:rPr>
        <w:t>Acompanhado do manual técnico de instruções na Língua Portuguesa, com informações técnicas para operação, configuração e parametrização;</w:t>
      </w:r>
    </w:p>
    <w:p>
      <w:pPr>
        <w:pStyle w:val="ListParagraph"/>
        <w:numPr>
          <w:ilvl w:val="2"/>
          <w:numId w:val="3"/>
        </w:numPr>
        <w:spacing w:lineRule="atLeast" w:line="23" w:before="0" w:after="120"/>
        <w:ind w:left="1134" w:hanging="850"/>
        <w:contextualSpacing/>
        <w:jc w:val="both"/>
        <w:rPr/>
      </w:pPr>
      <w:r>
        <w:rPr>
          <w:rFonts w:cs="Arial" w:ascii="Calibri" w:hAnsi="Calibri" w:asciiTheme="minorHAnsi" w:hAnsiTheme="minorHAnsi"/>
        </w:rPr>
        <w:t>Fornecido com um conjunto de pontas de prova, cabos de conexões e outros componentes que se fizerem necessários a atender a função a que se destinam, conforme especificações, além de estojo ou capa protetora do mesmo;</w:t>
      </w:r>
    </w:p>
    <w:p>
      <w:pPr>
        <w:pStyle w:val="ListParagraph"/>
        <w:numPr>
          <w:ilvl w:val="2"/>
          <w:numId w:val="3"/>
        </w:numPr>
        <w:spacing w:lineRule="atLeast" w:line="23" w:before="0" w:after="120"/>
        <w:ind w:left="1134" w:hanging="850"/>
        <w:contextualSpacing/>
        <w:jc w:val="both"/>
        <w:rPr/>
      </w:pPr>
      <w:r>
        <w:rPr>
          <w:rFonts w:cs="Arial" w:ascii="Calibri" w:hAnsi="Calibri" w:asciiTheme="minorHAnsi" w:hAnsiTheme="minorHAnsi"/>
        </w:rPr>
        <w:t xml:space="preserve"> </w:t>
      </w:r>
      <w:r>
        <w:rPr>
          <w:rFonts w:cs="Arial" w:ascii="Calibri" w:hAnsi="Calibri" w:asciiTheme="minorHAnsi" w:hAnsiTheme="minorHAnsi"/>
        </w:rPr>
        <w:t>Deverá ainda ser apresentados catálogos com fotos (não sendo aceitáveis fotos meramente ilustrativas) e as características específicas do equipamento de forma a permitir a verificação da oferta e sua consistência.</w:t>
      </w:r>
    </w:p>
    <w:p>
      <w:pPr>
        <w:pStyle w:val="ListParagraph"/>
        <w:numPr>
          <w:ilvl w:val="1"/>
          <w:numId w:val="3"/>
        </w:numPr>
        <w:spacing w:lineRule="atLeast" w:line="23" w:before="0" w:after="120"/>
        <w:ind w:left="567" w:hanging="567"/>
        <w:contextualSpacing/>
        <w:jc w:val="both"/>
        <w:rPr/>
      </w:pPr>
      <w:r>
        <w:rPr>
          <w:rFonts w:cs="Arial" w:ascii="Calibri" w:hAnsi="Calibri" w:asciiTheme="minorHAnsi" w:hAnsiTheme="minorHAnsi"/>
        </w:rPr>
        <w:t>Na hipótese de não haver vencedor para a cota reservada, esta poderá ser adjudicada ao vencedor da cota principal ou, diante de sua recusa, aos licitantes remanescentes, desde que pratiquem o preço do primeiro colocado da cota principal.</w:t>
      </w:r>
    </w:p>
    <w:p>
      <w:pPr>
        <w:pStyle w:val="ListParagraph"/>
        <w:numPr>
          <w:ilvl w:val="1"/>
          <w:numId w:val="3"/>
        </w:numPr>
        <w:spacing w:lineRule="atLeast" w:line="23" w:before="0" w:after="120"/>
        <w:ind w:left="567" w:hanging="567"/>
        <w:contextualSpacing/>
        <w:jc w:val="both"/>
        <w:rPr/>
      </w:pPr>
      <w:r>
        <w:rPr>
          <w:rFonts w:cs="Arial" w:ascii="Calibri" w:hAnsi="Calibri" w:asciiTheme="minorHAnsi" w:hAnsiTheme="minorHAnsi"/>
        </w:rPr>
        <w:t>Se a mesma empresa vencer a cota reservada e a cota principal, a contratação das cotas deverá ocorrer pelo menor preço.</w:t>
      </w:r>
    </w:p>
    <w:p>
      <w:pPr>
        <w:pStyle w:val="ListParagraph"/>
        <w:numPr>
          <w:ilvl w:val="1"/>
          <w:numId w:val="3"/>
        </w:numPr>
        <w:spacing w:lineRule="atLeast" w:line="23" w:before="0" w:after="120"/>
        <w:ind w:left="567" w:hanging="567"/>
        <w:contextualSpacing/>
        <w:jc w:val="both"/>
        <w:rPr/>
      </w:pPr>
      <w:r>
        <w:rPr>
          <w:rFonts w:cs="Arial" w:ascii="Calibri" w:hAnsi="Calibri" w:asciiTheme="minorHAnsi" w:hAnsiTheme="minorHAnsi"/>
        </w:rPr>
        <w:t>Será dada a prioridade de aquisição aos produtos das cotas reservadas</w:t>
      </w:r>
      <w:r>
        <w:rPr>
          <w:rFonts w:ascii="Calibri" w:hAnsi="Calibri" w:asciiTheme="minorHAnsi" w:hAnsiTheme="minorHAnsi"/>
        </w:rPr>
        <w:t xml:space="preserve"> </w:t>
      </w:r>
      <w:r>
        <w:rPr>
          <w:rFonts w:cs="Arial" w:ascii="Calibri" w:hAnsi="Calibri" w:asciiTheme="minorHAnsi" w:hAnsiTheme="minorHAnsi"/>
        </w:rPr>
        <w:t>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7º, § 4º do Decreto n. 8.538, de 2015.</w:t>
      </w:r>
    </w:p>
    <w:p>
      <w:pPr>
        <w:pStyle w:val="Normal"/>
        <w:numPr>
          <w:ilvl w:val="0"/>
          <w:numId w:val="3"/>
        </w:numPr>
        <w:shd w:val="clear" w:color="auto" w:fill="BFBFBF" w:themeFill="background1" w:themeFillShade="bf"/>
        <w:spacing w:lineRule="atLeast" w:line="23" w:before="0" w:after="120"/>
        <w:ind w:left="567" w:hanging="567"/>
        <w:jc w:val="both"/>
        <w:rPr/>
      </w:pPr>
      <w:r>
        <w:rPr>
          <w:rFonts w:cs="Arial" w:ascii="Calibri" w:hAnsi="Calibri" w:asciiTheme="minorHAnsi" w:hAnsiTheme="minorHAnsi"/>
          <w:b/>
        </w:rPr>
        <w:t>JUSTIFICATIVA E OBJETIVO DA CONTRATAÇÃO</w:t>
      </w:r>
    </w:p>
    <w:p>
      <w:pPr>
        <w:pStyle w:val="Normal"/>
        <w:numPr>
          <w:ilvl w:val="1"/>
          <w:numId w:val="3"/>
        </w:numPr>
        <w:spacing w:lineRule="atLeast" w:line="23" w:before="0" w:after="120"/>
        <w:ind w:left="567" w:hanging="567"/>
        <w:jc w:val="both"/>
        <w:rPr/>
      </w:pPr>
      <w:r>
        <w:rPr>
          <w:rFonts w:cs="Arial" w:ascii="Calibri" w:hAnsi="Calibri" w:asciiTheme="minorHAnsi" w:hAnsiTheme="minorHAnsi"/>
          <w:bCs/>
        </w:rPr>
        <w:t>Os materiais acima solicitados tem o objetivo de equipar o setor de Tecnologia da informação com materiais específicos e necessários para o desempenho das atividades de manutenção de máquinas e equipamentos, utilizados no apoio das atividades administrativas, pedagógicas e gerencias da instituição. Assim, a aquisição dos citados materiais condicionará a continuidades dessas atividades e permitirá o desempenho de soluções proativas, garantido a integridades dos ativos em TI.</w:t>
      </w:r>
    </w:p>
    <w:p>
      <w:pPr>
        <w:pStyle w:val="Normal"/>
        <w:numPr>
          <w:ilvl w:val="0"/>
          <w:numId w:val="3"/>
        </w:numPr>
        <w:shd w:val="clear" w:color="auto" w:fill="BFBFBF" w:themeFill="background1" w:themeFillShade="bf"/>
        <w:spacing w:lineRule="atLeast" w:line="23" w:before="0" w:after="120"/>
        <w:ind w:left="567" w:hanging="567"/>
        <w:jc w:val="both"/>
        <w:rPr/>
      </w:pPr>
      <w:r>
        <w:rPr>
          <w:rFonts w:cs="Arial" w:ascii="Calibri" w:hAnsi="Calibri" w:asciiTheme="minorHAnsi" w:hAnsiTheme="minorHAnsi"/>
          <w:b/>
          <w:color w:val="000000"/>
        </w:rPr>
        <w:t>CLASSIFICAÇÃO DOS BENS COMUNS</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rPr>
        <w:t>Os bens a serem adquiridos enquadram-se na classificação de bens comuns, nos termos do parágrafo único, do art. 1º da Lei nº 10.520, de 2002.</w:t>
      </w:r>
    </w:p>
    <w:p>
      <w:pPr>
        <w:pStyle w:val="Normal"/>
        <w:spacing w:lineRule="atLeast" w:line="23" w:before="0" w:after="120"/>
        <w:ind w:left="360" w:right="-15" w:hanging="0"/>
        <w:jc w:val="both"/>
        <w:rPr>
          <w:rFonts w:ascii="Calibri" w:hAnsi="Calibri" w:cs="Arial" w:asciiTheme="minorHAnsi" w:hAnsiTheme="minorHAnsi"/>
          <w:b/>
          <w:b/>
          <w:bCs/>
          <w:color w:val="000000"/>
        </w:rPr>
      </w:pPr>
      <w:r>
        <w:rPr>
          <w:rFonts w:cs="Arial" w:ascii="Calibri" w:hAnsi="Calibri"/>
          <w:b/>
          <w:bCs/>
          <w:color w:val="000000"/>
        </w:rPr>
      </w:r>
    </w:p>
    <w:p>
      <w:pPr>
        <w:pStyle w:val="Normal"/>
        <w:numPr>
          <w:ilvl w:val="0"/>
          <w:numId w:val="3"/>
        </w:numPr>
        <w:shd w:val="clear" w:color="auto" w:fill="BFBFBF" w:themeFill="background1" w:themeFillShade="bf"/>
        <w:spacing w:lineRule="atLeast" w:line="23" w:before="0" w:after="120"/>
        <w:ind w:left="567" w:hanging="567"/>
        <w:jc w:val="both"/>
        <w:rPr/>
      </w:pPr>
      <w:r>
        <w:rPr>
          <w:rFonts w:cs="Arial" w:ascii="Calibri" w:hAnsi="Calibri" w:asciiTheme="minorHAnsi" w:hAnsiTheme="minorHAnsi"/>
          <w:b/>
          <w:bCs/>
          <w:color w:val="000000"/>
        </w:rPr>
        <w:t>ENTREGA E CRITÉRIOS DE ACEITAÇÃO DO OBJETO.</w:t>
      </w:r>
    </w:p>
    <w:p>
      <w:pPr>
        <w:pStyle w:val="Normal"/>
        <w:numPr>
          <w:ilvl w:val="1"/>
          <w:numId w:val="3"/>
        </w:numPr>
        <w:spacing w:lineRule="atLeast" w:line="23" w:before="0" w:after="120"/>
        <w:ind w:left="567" w:hanging="567"/>
        <w:jc w:val="both"/>
        <w:rPr/>
      </w:pPr>
      <w:r>
        <w:rPr>
          <w:rFonts w:cs="Arial" w:ascii="Calibri" w:hAnsi="Calibri" w:asciiTheme="minorHAnsi" w:hAnsiTheme="minorHAnsi"/>
          <w:iCs/>
          <w:color w:val="000000"/>
        </w:rPr>
        <w:t>O prazo de entrega dos bens é de 30 dias, contados do recebimento da nota de empenho, em remessa</w:t>
      </w:r>
      <w:r>
        <w:rPr>
          <w:rFonts w:cs="Arial" w:ascii="Calibri" w:hAnsi="Calibri" w:asciiTheme="minorHAnsi" w:hAnsiTheme="minorHAnsi"/>
          <w:iCs/>
        </w:rPr>
        <w:t xml:space="preserve"> única</w:t>
      </w:r>
      <w:r>
        <w:rPr>
          <w:rFonts w:cs="Arial" w:ascii="Calibri" w:hAnsi="Calibri" w:asciiTheme="minorHAnsi" w:hAnsiTheme="minorHAnsi"/>
          <w:iCs/>
          <w:color w:val="000000"/>
        </w:rPr>
        <w:t xml:space="preserve">, no seguinte endereço: Av. Eng° Gentil Tavares da Mota, 1166, Bairro Getúlio Vargas, CEP: 49.055-260 de segunda a sexta-feira, das 08:00 às 12:00 e das 14:00 às 17:00, aos cuidados da COAL/AJU Coordenação do Almoxarifado/Campus Aracaju, exceto os materiais relacionados no subitem abaixo. </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rPr>
        <w:t xml:space="preserve">Os bens serão recebidos provisoriamente no prazo de 5 (cinco) dias, pelo(a) responsável pelo acompanhamento e fiscalização do contrato, para efeito de posterior verificação de sua conformidade com as especificações constantes neste Termo de Referência e na proposta. </w:t>
      </w:r>
    </w:p>
    <w:p>
      <w:pPr>
        <w:pStyle w:val="Normal"/>
        <w:numPr>
          <w:ilvl w:val="1"/>
          <w:numId w:val="3"/>
        </w:numPr>
        <w:spacing w:lineRule="atLeast" w:line="23" w:before="0" w:after="120"/>
        <w:ind w:left="567" w:hanging="567"/>
        <w:jc w:val="both"/>
        <w:rPr/>
      </w:pPr>
      <w:r>
        <w:rPr>
          <w:rFonts w:cs="Arial" w:ascii="Calibri" w:hAnsi="Calibri" w:asciiTheme="minorHAnsi" w:hAnsiTheme="minorHAnsi"/>
          <w:bCs/>
          <w:color w:val="000000"/>
        </w:rPr>
        <w:t xml:space="preserve">Os bens poderão ser rejeitados, no todo ou em parte, quando em desacordo com as especificações constantes neste Termo de Referência e na proposta, devendo ser substituídos no prazo de </w:t>
      </w:r>
      <w:r>
        <w:rPr>
          <w:rFonts w:cs="Arial" w:ascii="Calibri" w:hAnsi="Calibri" w:asciiTheme="minorHAnsi" w:hAnsiTheme="minorHAnsi"/>
          <w:color w:val="000000"/>
        </w:rPr>
        <w:t xml:space="preserve">5 (cinco) </w:t>
      </w:r>
      <w:r>
        <w:rPr>
          <w:rFonts w:cs="Arial" w:ascii="Calibri" w:hAnsi="Calibri" w:asciiTheme="minorHAnsi" w:hAnsiTheme="minorHAnsi"/>
          <w:bCs/>
          <w:color w:val="000000"/>
        </w:rPr>
        <w:t xml:space="preserve"> dias, a contar da notificação da contratada, às suas custas, sem prejuízo da aplicação das penalidades.</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rPr>
        <w:t>Os bens serão recebidos definitivamente no prazo de 5 (cinco) dias, contados do recebimento provisório, após a verificação da qualidade e quantidade do material e consequente aceitação mediante termo circunstanciado.</w:t>
      </w:r>
    </w:p>
    <w:p>
      <w:pPr>
        <w:pStyle w:val="Normal"/>
        <w:numPr>
          <w:ilvl w:val="2"/>
          <w:numId w:val="3"/>
        </w:numPr>
        <w:spacing w:lineRule="atLeast" w:line="23" w:before="0" w:after="120"/>
        <w:ind w:left="1134" w:hanging="850"/>
        <w:jc w:val="both"/>
        <w:rPr/>
      </w:pPr>
      <w:r>
        <w:rPr>
          <w:rFonts w:cs="Arial" w:ascii="Calibri" w:hAnsi="Calibri" w:asciiTheme="minorHAnsi" w:hAnsiTheme="minorHAnsi"/>
          <w:color w:val="00000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lang w:eastAsia="en-US"/>
        </w:rPr>
        <w:t>O recebimento provisório ou definitivo do objeto não exclui a responsabilidade da contratada pelos prejuízos resultantes da incorreta execução do contrato.</w:t>
      </w:r>
    </w:p>
    <w:p>
      <w:pPr>
        <w:pStyle w:val="Normal"/>
        <w:numPr>
          <w:ilvl w:val="0"/>
          <w:numId w:val="3"/>
        </w:numPr>
        <w:shd w:val="clear" w:color="auto" w:fill="BFBFBF" w:themeFill="background1" w:themeFillShade="bf"/>
        <w:spacing w:lineRule="atLeast" w:line="23" w:before="0" w:after="120"/>
        <w:ind w:left="567" w:hanging="567"/>
        <w:jc w:val="both"/>
        <w:rPr/>
      </w:pPr>
      <w:r>
        <w:rPr>
          <w:rFonts w:cs="Arial" w:ascii="Calibri" w:hAnsi="Calibri" w:asciiTheme="minorHAnsi" w:hAnsiTheme="minorHAnsi"/>
          <w:b/>
          <w:bCs/>
          <w:color w:val="000000"/>
          <w:lang w:eastAsia="en-US"/>
        </w:rPr>
        <w:t>DAS OBRIGAÇÕES DA CONTRATANTE</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São obrigações da Contratante:</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receber o objeto no prazo e condições estabelecidas no Edital e seus anexos;</w:t>
      </w:r>
    </w:p>
    <w:p>
      <w:pPr>
        <w:pStyle w:val="Normal"/>
        <w:numPr>
          <w:ilvl w:val="2"/>
          <w:numId w:val="3"/>
        </w:numPr>
        <w:spacing w:lineRule="atLeast" w:line="23" w:before="0" w:after="120"/>
        <w:ind w:left="1134" w:hanging="850"/>
        <w:jc w:val="both"/>
        <w:rPr/>
      </w:pPr>
      <w:r>
        <w:rPr>
          <w:rFonts w:cs="Arial" w:ascii="Calibri" w:hAnsi="Calibri" w:asciiTheme="minorHAnsi" w:hAnsiTheme="minorHAnsi"/>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comunicar à Contratada, por escrito, sobre imperfeições, falhas ou irregularidades verificadas no objeto fornecido, para que seja substituído, reparado ou corrigido;</w:t>
      </w:r>
    </w:p>
    <w:p>
      <w:pPr>
        <w:pStyle w:val="Normal"/>
        <w:numPr>
          <w:ilvl w:val="2"/>
          <w:numId w:val="3"/>
        </w:numPr>
        <w:spacing w:lineRule="atLeast" w:line="23" w:before="0" w:after="120"/>
        <w:ind w:left="1134" w:hanging="850"/>
        <w:jc w:val="both"/>
        <w:rPr/>
      </w:pPr>
      <w:r>
        <w:rPr>
          <w:rFonts w:cs="Arial" w:ascii="Calibri" w:hAnsi="Calibri" w:asciiTheme="minorHAnsi" w:hAnsiTheme="minorHAnsi"/>
          <w:lang w:eastAsia="en-US"/>
        </w:rPr>
        <w:t>acompanhar e fiscalizar o cumprimento das obrigações da Contratada, através de comissão/servidor especialmente designado;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efetuar o pagamento à Contratada</w:t>
      </w:r>
      <w:r>
        <w:rPr>
          <w:rFonts w:cs="Arial" w:ascii="Calibri" w:hAnsi="Calibri" w:asciiTheme="minorHAnsi" w:hAnsiTheme="minorHAnsi"/>
          <w:b/>
        </w:rPr>
        <w:t xml:space="preserve"> </w:t>
      </w:r>
      <w:r>
        <w:rPr>
          <w:rFonts w:cs="Arial" w:ascii="Calibri" w:hAnsi="Calibri" w:asciiTheme="minorHAnsi" w:hAnsiTheme="minorHAnsi"/>
        </w:rPr>
        <w:t>no valor correspondente ao fornecimento do objeto, no prazo e forma estabelecidos no Edital e seus anexos;</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rPr>
        <w:t>A Administração realizará pesquisa de preços periodicamente, em prazo não superior a 180 (cento e oitenta) dias, a fim de verificar a vantajosidade dos preços registrados em Ata.</w:t>
      </w:r>
    </w:p>
    <w:p>
      <w:pPr>
        <w:pStyle w:val="Normal"/>
        <w:numPr>
          <w:ilvl w:val="0"/>
          <w:numId w:val="3"/>
        </w:numPr>
        <w:shd w:val="clear" w:color="auto" w:fill="BFBFBF" w:themeFill="background1" w:themeFillShade="bf"/>
        <w:spacing w:lineRule="atLeast" w:line="23" w:before="0" w:after="120"/>
        <w:ind w:left="567" w:right="-15" w:hanging="567"/>
        <w:jc w:val="both"/>
        <w:rPr/>
      </w:pPr>
      <w:r>
        <w:rPr>
          <w:rFonts w:cs="Arial" w:ascii="Calibri" w:hAnsi="Calibri" w:asciiTheme="minorHAnsi" w:hAnsiTheme="minorHAnsi"/>
          <w:b/>
        </w:rPr>
        <w:t>OBRIGAÇÕES DA CONTRATADA</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 xml:space="preserve">efetuar a entrega do objeto em perfeitas condições, conforme especificações, prazo e local constantes no Edital e seus anexos, acompanhado da respectiva nota fiscal, na qual constarão as indicações referentes a: </w:t>
      </w:r>
      <w:r>
        <w:rPr>
          <w:rFonts w:cs="Arial" w:ascii="Calibri" w:hAnsi="Calibri" w:asciiTheme="minorHAnsi" w:hAnsiTheme="minorHAnsi"/>
          <w:i/>
        </w:rPr>
        <w:t>marca, fabricante, modelo, procedência e prazo de garantia ou validade;</w:t>
      </w:r>
    </w:p>
    <w:p>
      <w:pPr>
        <w:pStyle w:val="Normal"/>
        <w:numPr>
          <w:ilvl w:val="3"/>
          <w:numId w:val="3"/>
        </w:numPr>
        <w:spacing w:lineRule="atLeast" w:line="23" w:before="0" w:after="120"/>
        <w:ind w:left="1701" w:hanging="1134"/>
        <w:jc w:val="both"/>
        <w:rPr/>
      </w:pPr>
      <w:r>
        <w:rPr>
          <w:rFonts w:cs="Arial" w:ascii="Calibri" w:hAnsi="Calibri" w:asciiTheme="minorHAnsi" w:hAnsiTheme="minorHAnsi"/>
        </w:rPr>
        <w:t>O objeto deve estar acompanhado do manual do usuário, com uma versão em português e da relação da rede de assistência técnica autorizada;</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responsabilizar-se pelos vícios e danos decorrentes do objeto, de acordo com os artigos 12, 13 e 17 a 27, do Código de Defesa do Consumidor (Lei nº 8.078, de 1990);</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substituir, reparar ou corrigir, às suas expensas, no prazo fixado neste Termo de Referência, o objeto com avarias ou defeitos;</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comunicar à Contratante, no prazo máximo de 24 (vinte e quatro) horas que antecede a data da entrega, os motivos que impossibilitem o cumprimento do prazo previsto, com a devida comprovação;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manter, durante toda a execução do contrato, em compatibilidade com as obrigações assumidas, todas as condições de habilitação e qualificação exigidas na licitação;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indicar preposto para representá-la durante a execução do contrato.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Os fornecedores dos materiais correspondentes aos itens 16, 40 e 45 desta licitação (tabela constante no item 1.1. deste Termo de Referência) deverão proporcionar assistência técnica permanente durante 18 meses de garantia, inclusive com atualizações que se fizerem necessárias, nos sistemas instalados.</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Os fornecedores dos itens 16, 40 e 45 desta licitação (tabela constante no item 1.1. deste Termo de Referência) deverão substituir os componentes defeituosos no prazo de 05 (cinco) dias úteis, contados após a comunicação por parte do IFS, através de e-mail ou fax.</w:t>
      </w:r>
    </w:p>
    <w:p>
      <w:pPr>
        <w:pStyle w:val="Normal"/>
        <w:numPr>
          <w:ilvl w:val="0"/>
          <w:numId w:val="3"/>
        </w:numPr>
        <w:shd w:val="clear" w:color="auto" w:fill="BFBFBF" w:themeFill="background1" w:themeFillShade="bf"/>
        <w:spacing w:lineRule="atLeast" w:line="23" w:before="0" w:after="120"/>
        <w:ind w:left="567" w:hanging="567"/>
        <w:jc w:val="both"/>
        <w:rPr/>
      </w:pPr>
      <w:r>
        <w:rPr>
          <w:rFonts w:cs="Arial" w:ascii="Calibri" w:hAnsi="Calibri" w:asciiTheme="minorHAnsi" w:hAnsiTheme="minorHAnsi"/>
          <w:b/>
          <w:color w:val="000000"/>
        </w:rPr>
        <w:t>DA SUBCONTRATAÇÃO</w:t>
      </w:r>
    </w:p>
    <w:p>
      <w:pPr>
        <w:pStyle w:val="ListParagraph"/>
        <w:numPr>
          <w:ilvl w:val="1"/>
          <w:numId w:val="3"/>
        </w:numPr>
        <w:spacing w:lineRule="atLeast" w:line="23" w:before="0" w:after="120"/>
        <w:ind w:left="567" w:hanging="567"/>
        <w:contextualSpacing/>
        <w:jc w:val="both"/>
        <w:rPr/>
      </w:pPr>
      <w:r>
        <w:rPr>
          <w:rFonts w:cs="Arial" w:ascii="Calibri" w:hAnsi="Calibri" w:asciiTheme="minorHAnsi" w:hAnsiTheme="minorHAnsi"/>
        </w:rPr>
        <w:t>Não será admitida a subcontratação do objeto licitatório.</w:t>
      </w:r>
    </w:p>
    <w:p>
      <w:pPr>
        <w:pStyle w:val="Normal"/>
        <w:numPr>
          <w:ilvl w:val="0"/>
          <w:numId w:val="3"/>
        </w:numPr>
        <w:shd w:val="clear" w:color="auto" w:fill="BFBFBF" w:themeFill="background1" w:themeFillShade="bf"/>
        <w:spacing w:lineRule="atLeast" w:line="23" w:before="0" w:after="120"/>
        <w:ind w:left="567" w:right="-15" w:hanging="567"/>
        <w:jc w:val="both"/>
        <w:rPr/>
      </w:pPr>
      <w:r>
        <w:rPr>
          <w:rFonts w:cs="Arial" w:ascii="Calibri" w:hAnsi="Calibri" w:asciiTheme="minorHAnsi" w:hAnsiTheme="minorHAnsi"/>
          <w:b/>
          <w:color w:val="000000"/>
          <w:lang w:eastAsia="en-US"/>
        </w:rPr>
        <w:t>ALTERAÇÃO SUBJETIVA</w:t>
      </w:r>
    </w:p>
    <w:p>
      <w:pPr>
        <w:pStyle w:val="Normal"/>
        <w:numPr>
          <w:ilvl w:val="1"/>
          <w:numId w:val="3"/>
        </w:numPr>
        <w:spacing w:lineRule="atLeast" w:line="23" w:before="0" w:after="120"/>
        <w:ind w:left="567" w:hanging="567"/>
        <w:jc w:val="both"/>
        <w:rPr/>
      </w:pPr>
      <w:r>
        <w:rPr>
          <w:rFonts w:cs="Arial" w:ascii="Calibri" w:hAnsi="Calibri" w:asciiTheme="minorHAnsi" w:hAnsiTheme="minorHAnsi"/>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numPr>
          <w:ilvl w:val="0"/>
          <w:numId w:val="3"/>
        </w:numPr>
        <w:shd w:val="clear" w:color="auto" w:fill="BFBFBF" w:themeFill="background1" w:themeFillShade="bf"/>
        <w:spacing w:lineRule="atLeast" w:line="23" w:before="0" w:after="120"/>
        <w:ind w:left="360" w:right="-15" w:hanging="567"/>
        <w:jc w:val="both"/>
        <w:rPr/>
      </w:pPr>
      <w:r>
        <w:rPr>
          <w:rFonts w:cs="Arial" w:ascii="Calibri" w:hAnsi="Calibri" w:asciiTheme="minorHAnsi" w:hAnsiTheme="minorHAnsi"/>
          <w:b/>
          <w:color w:val="000000"/>
          <w:lang w:eastAsia="en-US"/>
        </w:rPr>
        <w:t>CONTROLE DA EXECUÇÃO</w:t>
      </w:r>
    </w:p>
    <w:p>
      <w:pPr>
        <w:pStyle w:val="Normal"/>
        <w:numPr>
          <w:ilvl w:val="1"/>
          <w:numId w:val="3"/>
        </w:numPr>
        <w:spacing w:lineRule="atLeast" w:line="23" w:before="0" w:after="120"/>
        <w:ind w:left="425" w:hanging="567"/>
        <w:jc w:val="both"/>
        <w:rPr/>
      </w:pPr>
      <w:r>
        <w:rPr>
          <w:rFonts w:cs="Arial" w:ascii="Calibri" w:hAnsi="Calibri" w:asciiTheme="minorHAnsi" w:hAnsiTheme="minorHAnsi"/>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3"/>
        </w:numPr>
        <w:spacing w:lineRule="atLeast" w:line="23" w:before="0" w:after="120"/>
        <w:ind w:left="1134" w:hanging="850"/>
        <w:jc w:val="both"/>
        <w:rPr/>
      </w:pPr>
      <w:r>
        <w:rPr>
          <w:rFonts w:cs="Arial" w:ascii="Calibri" w:hAnsi="Calibri" w:asciiTheme="minorHAnsi" w:hAnsiTheme="minorHAnsi"/>
          <w:color w:val="000000"/>
          <w:lang w:eastAsia="en-US"/>
        </w:rPr>
        <w:t>O recebimento de material de valor superior a R$ 80.000,00 (oitenta mil reais) será confiado a uma comissão de, no mínimo, 3 (três) membros, designados pela autoridade competente.</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lang w:eastAsia="en-US"/>
        </w:rPr>
        <w:t xml:space="preserve">A fiscalização de que trata este item não exclui nem reduz a </w:t>
      </w:r>
      <w:r>
        <w:rPr>
          <w:rFonts w:cs="Arial" w:ascii="Calibri" w:hAnsi="Calibri" w:asciiTheme="minorHAnsi" w:hAnsiTheme="minorHAnsi"/>
          <w:color w:val="000000"/>
        </w:rPr>
        <w:t>responsabilidade</w:t>
      </w:r>
      <w:r>
        <w:rPr>
          <w:rFonts w:cs="Arial" w:ascii="Calibri" w:hAnsi="Calibri" w:asciiTheme="minorHAnsi" w:hAnsiTheme="minorHAnsi"/>
          <w:color w:val="000000"/>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3"/>
        </w:numPr>
        <w:spacing w:lineRule="atLeast" w:line="23" w:before="0" w:after="120"/>
        <w:ind w:left="567" w:hanging="567"/>
        <w:jc w:val="both"/>
        <w:rPr/>
      </w:pPr>
      <w:r>
        <w:rPr>
          <w:rFonts w:cs="Arial" w:ascii="Calibri" w:hAnsi="Calibri" w:asciiTheme="minorHAnsi" w:hAnsiTheme="minorHAnsi"/>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numPr>
          <w:ilvl w:val="0"/>
          <w:numId w:val="3"/>
        </w:numPr>
        <w:shd w:val="clear" w:color="auto" w:fill="BFBFBF" w:themeFill="background1" w:themeFillShade="bf"/>
        <w:spacing w:lineRule="atLeast" w:line="23" w:before="0" w:after="120"/>
        <w:ind w:left="567" w:right="-15" w:hanging="567"/>
        <w:jc w:val="both"/>
        <w:rPr/>
      </w:pPr>
      <w:r>
        <w:rPr>
          <w:rFonts w:cs="Arial" w:ascii="Calibri" w:hAnsi="Calibri" w:asciiTheme="minorHAnsi" w:hAnsiTheme="minorHAnsi"/>
          <w:b/>
        </w:rPr>
        <w:t>DAS SANÇÕES ADMINISTRATIVAS</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Comete infração administrativa nos termos da Lei nº 8.666, de 1993 e da Lei nº 10.520, de 2002, a Contratada que:</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inexecutar total ou parcialmente qualquer das obrigações assumidas em decorrência da contratação;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ensejar o retardamento da execução do objeto;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fraudar na execução do contrato;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comportar-se de modo inidôneo;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cometer fraude fiscal;</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não mantiver a proposta.</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 Contratada que cometer qualquer das infrações discriminadas no subitem acima ficará sujeita, sem prejuízo da responsabilidade civil e criminal, às seguintes sanções:</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advertência por faltas leves, assim entendidas aquelas que não acarretem prejuízos significativos para a Contratante;</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multa moratória de 0,5% (cinco décimos por cento) por dia de atraso injustificado sobre o valor da parcela inadimplida, até o limite de 20 (vinte) dias;</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multa compensatória de 20% (vinte por cento) sobre o valor total do contrato, no caso de inexecução total do objeto;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em caso de inexecução parcial, a multa compensatória, no mesmo percentual do subitem acima, será aplicada de forma proporcional à obrigação inadimplida;</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impedimento de licitar e contratar com a União com o consequente descredenciamento no SICAF pelo prazo de até cinco anos;</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Também ficam sujeitas às penalidades do art. 87, III e IV da Lei nº 8.666, de 1993, as empresas e os profissionais que:</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tenham sofrido condenação definitiva por praticar, por meio dolosos, fraude fiscal no recolhimento de quaisquer tributos;</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tenham praticado atos ilícitos visando a frustrar os objetivos da licitação;</w:t>
      </w:r>
    </w:p>
    <w:p>
      <w:pPr>
        <w:pStyle w:val="Normal"/>
        <w:numPr>
          <w:ilvl w:val="2"/>
          <w:numId w:val="3"/>
        </w:numPr>
        <w:spacing w:lineRule="atLeast" w:line="23" w:before="0" w:after="120"/>
        <w:ind w:left="1134" w:hanging="850"/>
        <w:jc w:val="both"/>
        <w:rPr/>
      </w:pPr>
      <w:r>
        <w:rPr>
          <w:rFonts w:cs="Arial" w:ascii="Calibri" w:hAnsi="Calibri" w:asciiTheme="minorHAnsi" w:hAnsiTheme="minorHAnsi"/>
        </w:rPr>
        <w:t>demonstrem não possuir idoneidade para contratar com a Administração em virtude de atos ilícitos praticados.</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3"/>
        </w:numPr>
        <w:spacing w:lineRule="atLeast" w:line="23" w:before="0" w:after="120"/>
        <w:ind w:left="567" w:hanging="567"/>
        <w:jc w:val="both"/>
        <w:rPr/>
      </w:pPr>
      <w:r>
        <w:rPr>
          <w:rFonts w:cs="Arial" w:ascii="Calibri" w:hAnsi="Calibri" w:asciiTheme="minorHAnsi" w:hAnsiTheme="minorHAnsi"/>
        </w:rPr>
        <w:t>As penalidades serão obrigatoriamente registradas no SICAF.</w:t>
      </w:r>
    </w:p>
    <w:p>
      <w:pPr>
        <w:pStyle w:val="Normal"/>
        <w:spacing w:lineRule="atLeast" w:line="23" w:before="0" w:after="120"/>
        <w:rPr>
          <w:rFonts w:ascii="Calibri" w:hAnsi="Calibri" w:cs="Arial" w:asciiTheme="minorHAnsi" w:hAnsiTheme="minorHAnsi"/>
          <w:i/>
          <w:i/>
          <w:color w:val="FF0000"/>
        </w:rPr>
      </w:pPr>
      <w:r>
        <w:rPr>
          <w:rFonts w:cs="Arial" w:ascii="Calibri" w:hAnsi="Calibri"/>
          <w:i/>
          <w:color w:val="FF0000"/>
        </w:rPr>
      </w:r>
    </w:p>
    <w:p>
      <w:pPr>
        <w:pStyle w:val="Normal"/>
        <w:spacing w:lineRule="atLeast" w:line="23" w:before="0" w:after="120"/>
        <w:rPr>
          <w:rFonts w:ascii="Calibri" w:hAnsi="Calibri" w:cs="Arial" w:asciiTheme="minorHAnsi" w:hAnsiTheme="minorHAnsi"/>
          <w:i/>
          <w:i/>
          <w:color w:val="FF0000"/>
        </w:rPr>
      </w:pPr>
      <w:r>
        <w:rPr>
          <w:rFonts w:cs="Arial" w:ascii="Calibri" w:hAnsi="Calibri"/>
          <w:i/>
          <w:color w:val="FF0000"/>
        </w:rPr>
      </w:r>
    </w:p>
    <w:p>
      <w:pPr>
        <w:pStyle w:val="Standard"/>
        <w:ind w:left="360" w:hanging="0"/>
        <w:jc w:val="right"/>
        <w:rPr/>
      </w:pPr>
      <w:r>
        <w:rPr>
          <w:rFonts w:ascii="Calibri" w:hAnsi="Calibri" w:asciiTheme="minorHAnsi" w:hAnsiTheme="minorHAnsi"/>
        </w:rPr>
        <w:t>Aracaju, 09 de outubro de 2017.</w:t>
      </w:r>
    </w:p>
    <w:p>
      <w:pPr>
        <w:pStyle w:val="Standard"/>
        <w:ind w:left="360" w:hanging="0"/>
        <w:rPr>
          <w:rFonts w:ascii="Calibri" w:hAnsi="Calibri" w:cs="Times New Roman" w:asciiTheme="minorHAnsi" w:hAnsiTheme="minorHAnsi"/>
        </w:rPr>
      </w:pPr>
      <w:r>
        <w:rPr>
          <w:rFonts w:cs="Times New Roman" w:ascii="Calibri" w:hAnsi="Calibri"/>
        </w:rPr>
      </w:r>
    </w:p>
    <w:p>
      <w:pPr>
        <w:pStyle w:val="Standard"/>
        <w:ind w:left="360" w:hanging="0"/>
        <w:rPr/>
      </w:pPr>
      <w:r>
        <w:rPr>
          <w:rFonts w:cs="Times New Roman" w:ascii="Calibri" w:hAnsi="Calibri" w:asciiTheme="minorHAnsi" w:hAnsiTheme="minorHAnsi"/>
        </w:rPr>
        <w:t>Requisitante,</w:t>
      </w:r>
    </w:p>
    <w:p>
      <w:pPr>
        <w:pStyle w:val="Standard"/>
        <w:ind w:left="360" w:hanging="0"/>
        <w:jc w:val="center"/>
        <w:rPr>
          <w:rFonts w:ascii="Calibri" w:hAnsi="Calibri" w:cs="Times New Roman" w:asciiTheme="minorHAnsi" w:hAnsiTheme="minorHAnsi"/>
        </w:rPr>
      </w:pPr>
      <w:r>
        <w:rPr>
          <w:rFonts w:cs="Times New Roman" w:ascii="Calibri" w:hAnsi="Calibri"/>
        </w:rPr>
      </w:r>
    </w:p>
    <w:p>
      <w:pPr>
        <w:pStyle w:val="Standard"/>
        <w:ind w:left="360" w:hanging="0"/>
        <w:jc w:val="center"/>
        <w:rPr>
          <w:rFonts w:ascii="Calibri" w:hAnsi="Calibri" w:cs="Times New Roman" w:asciiTheme="minorHAnsi" w:hAnsiTheme="minorHAnsi"/>
        </w:rPr>
      </w:pPr>
      <w:r>
        <w:rPr>
          <w:rFonts w:cs="Times New Roman" w:ascii="Calibri" w:hAnsi="Calibri"/>
        </w:rPr>
      </w:r>
    </w:p>
    <w:p>
      <w:pPr>
        <w:pStyle w:val="Normal"/>
        <w:spacing w:before="0" w:after="0"/>
        <w:contextualSpacing/>
        <w:jc w:val="center"/>
        <w:rPr/>
      </w:pPr>
      <w:r>
        <w:rPr>
          <w:rFonts w:ascii="Calibri" w:hAnsi="Calibri" w:asciiTheme="minorHAnsi" w:hAnsiTheme="minorHAnsi"/>
        </w:rPr>
        <w:t>_______________________________</w:t>
      </w:r>
    </w:p>
    <w:p>
      <w:pPr>
        <w:pStyle w:val="Normal"/>
        <w:jc w:val="center"/>
        <w:rPr/>
      </w:pPr>
      <w:r>
        <w:rPr>
          <w:rFonts w:ascii="Calibri" w:hAnsi="Calibri" w:asciiTheme="minorHAnsi" w:hAnsiTheme="minorHAnsi"/>
        </w:rPr>
        <w:t>João Vitor Quadros Leão</w:t>
      </w:r>
    </w:p>
    <w:p>
      <w:pPr>
        <w:pStyle w:val="Normal"/>
        <w:jc w:val="center"/>
        <w:rPr/>
      </w:pPr>
      <w:r>
        <w:rPr>
          <w:rFonts w:ascii="Calibri" w:hAnsi="Calibri" w:asciiTheme="minorHAnsi" w:hAnsiTheme="minorHAnsi"/>
        </w:rPr>
        <w:t>Coordenador de Tecnologia da Informação/Campus Aracaju (CTI)</w:t>
      </w:r>
    </w:p>
    <w:p>
      <w:pPr>
        <w:pStyle w:val="Standard"/>
        <w:ind w:left="360" w:hanging="0"/>
        <w:rPr>
          <w:rFonts w:ascii="Calibri" w:hAnsi="Calibri" w:cs="Times New Roman" w:asciiTheme="minorHAnsi" w:hAnsiTheme="minorHAnsi"/>
        </w:rPr>
      </w:pPr>
      <w:r>
        <w:rPr>
          <w:rFonts w:cs="Times New Roman" w:ascii="Calibri" w:hAnsi="Calibri"/>
        </w:rPr>
      </w:r>
    </w:p>
    <w:p>
      <w:pPr>
        <w:pStyle w:val="Normal"/>
        <w:spacing w:lineRule="atLeast" w:line="23" w:before="0" w:after="120"/>
        <w:rPr>
          <w:rFonts w:ascii="Calibri" w:hAnsi="Calibri" w:cs="Arial" w:asciiTheme="minorHAnsi" w:hAnsiTheme="minorHAnsi"/>
          <w:b/>
          <w:b/>
        </w:rPr>
      </w:pPr>
      <w:r>
        <w:rPr>
          <w:rFonts w:cs="Arial" w:ascii="Calibri" w:hAnsi="Calibri"/>
          <w:b/>
        </w:rPr>
        <mc:AlternateContent>
          <mc:Choice Requires="wps">
            <w:drawing>
              <wp:anchor behindDoc="0" distT="0" distB="0" distL="89535" distR="89535" simplePos="0" locked="0" layoutInCell="1" allowOverlap="1" relativeHeight="2">
                <wp:simplePos x="0" y="0"/>
                <wp:positionH relativeFrom="margin">
                  <wp:align>center</wp:align>
                </wp:positionH>
                <wp:positionV relativeFrom="paragraph">
                  <wp:posOffset>390525</wp:posOffset>
                </wp:positionV>
                <wp:extent cx="3449320" cy="1868170"/>
                <wp:effectExtent l="0" t="0" r="0" b="0"/>
                <wp:wrapSquare wrapText="bothSides"/>
                <wp:docPr id="1" name="Quadro1"/>
                <a:graphic xmlns:a="http://schemas.openxmlformats.org/drawingml/2006/main">
                  <a:graphicData uri="http://schemas.microsoft.com/office/word/2010/wordprocessingShape">
                    <wps:wsp>
                      <wps:cNvSpPr/>
                      <wps:spPr>
                        <a:xfrm>
                          <a:off x="0" y="0"/>
                          <a:ext cx="3448800" cy="1867680"/>
                        </a:xfrm>
                        <a:prstGeom prst="rect">
                          <a:avLst/>
                        </a:prstGeom>
                        <a:noFill/>
                        <a:ln>
                          <a:noFill/>
                        </a:ln>
                      </wps:spPr>
                      <wps:style>
                        <a:lnRef idx="0"/>
                        <a:fillRef idx="0"/>
                        <a:effectRef idx="0"/>
                        <a:fontRef idx="minor"/>
                      </wps:style>
                      <wps:txbx>
                        <w:txbxContent>
                          <w:tbl>
                            <w:tblPr>
                              <w:tblW w:w="5430" w:type="dxa"/>
                              <w:jc w:val="center"/>
                              <w:tblInd w:w="0"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top w:w="0" w:type="dxa"/>
                                <w:left w:w="84" w:type="dxa"/>
                                <w:bottom w:w="0" w:type="dxa"/>
                                <w:right w:w="108" w:type="dxa"/>
                              </w:tblCellMar>
                              <w:tblLook w:firstRow="0" w:noVBand="0" w:lastRow="0" w:firstColumn="0" w:lastColumn="0" w:noHBand="0" w:val="0000"/>
                            </w:tblPr>
                            <w:tblGrid>
                              <w:gridCol w:w="5430"/>
                            </w:tblGrid>
                            <w:tr>
                              <w:trPr>
                                <w:trHeight w:val="251" w:hRule="atLeast"/>
                              </w:trPr>
                              <w:tc>
                                <w:tcPr>
                                  <w:tcW w:w="5430"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color="auto" w:fill="FFFFFF" w:val="clear"/>
                                  <w:tcMar>
                                    <w:left w:w="84" w:type="dxa"/>
                                  </w:tcMar>
                                </w:tcPr>
                                <w:p>
                                  <w:pPr>
                                    <w:pStyle w:val="Standard"/>
                                    <w:spacing w:before="0" w:after="0"/>
                                    <w:ind w:left="-17" w:hanging="0"/>
                                    <w:contextualSpacing/>
                                    <w:jc w:val="center"/>
                                    <w:rPr/>
                                  </w:pPr>
                                  <w:r>
                                    <w:rPr>
                                      <w:rFonts w:cs="Times New Roman" w:ascii="Calibri" w:hAnsi="Calibri" w:asciiTheme="minorHAnsi" w:hAnsiTheme="minorHAnsi"/>
                                      <w:b/>
                                      <w:bCs/>
                                    </w:rPr>
                                    <w:t>APROVAÇÃO DO TERMO DE REFERÊNCIA</w:t>
                                  </w:r>
                                </w:p>
                                <w:p>
                                  <w:pPr>
                                    <w:pStyle w:val="Standard"/>
                                    <w:spacing w:before="0" w:after="0"/>
                                    <w:ind w:left="-17" w:hanging="0"/>
                                    <w:contextualSpacing/>
                                    <w:jc w:val="center"/>
                                    <w:rPr/>
                                  </w:pPr>
                                  <w:r>
                                    <w:rPr>
                                      <w:rFonts w:cs="Times New Roman" w:ascii="Calibri" w:hAnsi="Calibri" w:asciiTheme="minorHAnsi" w:hAnsiTheme="minorHAnsi"/>
                                    </w:rPr>
                                    <w:t>(     ) Aprovado (       ) Não Aprovado</w:t>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pPr>
                                  <w:r>
                                    <w:rPr>
                                      <w:rFonts w:cs="Times New Roman" w:ascii="Calibri" w:hAnsi="Calibri" w:asciiTheme="minorHAnsi" w:hAnsiTheme="minorHAnsi"/>
                                    </w:rPr>
                                    <w:t>Data: _____/________/2017</w:t>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pPr>
                                  <w:r>
                                    <w:rPr>
                                      <w:rFonts w:cs="Times New Roman" w:ascii="Calibri" w:hAnsi="Calibri" w:asciiTheme="minorHAnsi" w:hAnsiTheme="minorHAnsi"/>
                                      <w:b/>
                                      <w:bCs/>
                                      <w:color w:val="000000"/>
                                    </w:rPr>
                                    <w:t>Elber Ribeiro Gama</w:t>
                                  </w:r>
                                </w:p>
                                <w:p>
                                  <w:pPr>
                                    <w:pStyle w:val="Standard"/>
                                    <w:spacing w:before="0" w:after="0"/>
                                    <w:ind w:left="-17" w:hanging="0"/>
                                    <w:contextualSpacing/>
                                    <w:jc w:val="center"/>
                                    <w:rPr/>
                                  </w:pPr>
                                  <w:r>
                                    <w:rPr>
                                      <w:rFonts w:cs="Times New Roman" w:ascii="Calibri" w:hAnsi="Calibri" w:asciiTheme="minorHAnsi" w:hAnsiTheme="minorHAnsi"/>
                                      <w:color w:val="000000"/>
                                    </w:rPr>
                                    <w:t>Diretor</w:t>
                                  </w:r>
                                </w:p>
                              </w:tc>
                            </w:tr>
                          </w:tbl>
                          <w:p>
                            <w:pPr>
                              <w:pStyle w:val="Contedodoquadro"/>
                              <w:rPr>
                                <w:color w:val="000000"/>
                              </w:rPr>
                            </w:pPr>
                            <w:r>
                              <w:rPr>
                                <w:color w:val="000000"/>
                              </w:rPr>
                            </w:r>
                          </w:p>
                        </w:txbxContent>
                      </wps:txbx>
                      <wps:bodyPr lIns="0" rIns="0" tIns="0" bIns="0">
                        <a:spAutoFit/>
                      </wps:bodyPr>
                    </wps:wsp>
                  </a:graphicData>
                </a:graphic>
              </wp:anchor>
            </w:drawing>
          </mc:Choice>
          <mc:Fallback>
            <w:pict>
              <v:rect id="shape_0" ID="Quadro1" stroked="f" style="position:absolute;margin-left:90.95pt;margin-top:30.75pt;width:271.5pt;height:147pt;mso-position-horizontal:center;mso-position-horizontal-relative:margin">
                <w10:wrap type="none"/>
                <v:fill o:detectmouseclick="t" on="false"/>
                <v:stroke color="#3465a4" joinstyle="round" endcap="flat"/>
                <v:textbox>
                  <w:txbxContent>
                    <w:tbl>
                      <w:tblPr>
                        <w:tblW w:w="5430" w:type="dxa"/>
                        <w:jc w:val="center"/>
                        <w:tblInd w:w="0"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top w:w="0" w:type="dxa"/>
                          <w:left w:w="84" w:type="dxa"/>
                          <w:bottom w:w="0" w:type="dxa"/>
                          <w:right w:w="108" w:type="dxa"/>
                        </w:tblCellMar>
                        <w:tblLook w:firstRow="0" w:noVBand="0" w:lastRow="0" w:firstColumn="0" w:lastColumn="0" w:noHBand="0" w:val="0000"/>
                      </w:tblPr>
                      <w:tblGrid>
                        <w:gridCol w:w="5430"/>
                      </w:tblGrid>
                      <w:tr>
                        <w:trPr>
                          <w:trHeight w:val="251" w:hRule="atLeast"/>
                        </w:trPr>
                        <w:tc>
                          <w:tcPr>
                            <w:tcW w:w="5430"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color="auto" w:fill="FFFFFF" w:val="clear"/>
                            <w:tcMar>
                              <w:left w:w="84" w:type="dxa"/>
                            </w:tcMar>
                          </w:tcPr>
                          <w:p>
                            <w:pPr>
                              <w:pStyle w:val="Standard"/>
                              <w:spacing w:before="0" w:after="0"/>
                              <w:ind w:left="-17" w:hanging="0"/>
                              <w:contextualSpacing/>
                              <w:jc w:val="center"/>
                              <w:rPr/>
                            </w:pPr>
                            <w:r>
                              <w:rPr>
                                <w:rFonts w:cs="Times New Roman" w:ascii="Calibri" w:hAnsi="Calibri" w:asciiTheme="minorHAnsi" w:hAnsiTheme="minorHAnsi"/>
                                <w:b/>
                                <w:bCs/>
                              </w:rPr>
                              <w:t>APROVAÇÃO DO TERMO DE REFERÊNCIA</w:t>
                            </w:r>
                          </w:p>
                          <w:p>
                            <w:pPr>
                              <w:pStyle w:val="Standard"/>
                              <w:spacing w:before="0" w:after="0"/>
                              <w:ind w:left="-17" w:hanging="0"/>
                              <w:contextualSpacing/>
                              <w:jc w:val="center"/>
                              <w:rPr/>
                            </w:pPr>
                            <w:r>
                              <w:rPr>
                                <w:rFonts w:cs="Times New Roman" w:ascii="Calibri" w:hAnsi="Calibri" w:asciiTheme="minorHAnsi" w:hAnsiTheme="minorHAnsi"/>
                              </w:rPr>
                              <w:t>(     ) Aprovado (       ) Não Aprovado</w:t>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pPr>
                            <w:r>
                              <w:rPr>
                                <w:rFonts w:cs="Times New Roman" w:ascii="Calibri" w:hAnsi="Calibri" w:asciiTheme="minorHAnsi" w:hAnsiTheme="minorHAnsi"/>
                              </w:rPr>
                              <w:t>Data: _____/________/2017</w:t>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rFonts w:ascii="Calibri" w:hAnsi="Calibri" w:cs="Times New Roman" w:asciiTheme="minorHAnsi" w:hAnsiTheme="minorHAnsi"/>
                              </w:rPr>
                            </w:pPr>
                            <w:r>
                              <w:rPr>
                                <w:rFonts w:cs="Times New Roman" w:ascii="Calibri" w:hAnsi="Calibri"/>
                              </w:rPr>
                            </w:r>
                          </w:p>
                          <w:p>
                            <w:pPr>
                              <w:pStyle w:val="Standard"/>
                              <w:spacing w:before="0" w:after="0"/>
                              <w:ind w:left="-17" w:hanging="0"/>
                              <w:contextualSpacing/>
                              <w:jc w:val="center"/>
                              <w:rPr/>
                            </w:pPr>
                            <w:r>
                              <w:rPr>
                                <w:rFonts w:cs="Times New Roman" w:ascii="Calibri" w:hAnsi="Calibri" w:asciiTheme="minorHAnsi" w:hAnsiTheme="minorHAnsi"/>
                                <w:b/>
                                <w:bCs/>
                                <w:color w:val="000000"/>
                              </w:rPr>
                              <w:t>Elber Ribeiro Gama</w:t>
                            </w:r>
                          </w:p>
                          <w:p>
                            <w:pPr>
                              <w:pStyle w:val="Standard"/>
                              <w:spacing w:before="0" w:after="0"/>
                              <w:ind w:left="-17" w:hanging="0"/>
                              <w:contextualSpacing/>
                              <w:jc w:val="center"/>
                              <w:rPr/>
                            </w:pPr>
                            <w:r>
                              <w:rPr>
                                <w:rFonts w:cs="Times New Roman" w:ascii="Calibri" w:hAnsi="Calibri" w:asciiTheme="minorHAnsi" w:hAnsiTheme="minorHAnsi"/>
                                <w:color w:val="000000"/>
                              </w:rPr>
                              <w:t>Diretor</w:t>
                            </w:r>
                          </w:p>
                        </w:tc>
                      </w:tr>
                    </w:tbl>
                    <w:p>
                      <w:pPr>
                        <w:pStyle w:val="Contedodoquadro"/>
                        <w:rPr>
                          <w:color w:val="000000"/>
                        </w:rPr>
                      </w:pPr>
                      <w:r>
                        <w:rPr>
                          <w:color w:val="000000"/>
                        </w:rPr>
                      </w:r>
                    </w:p>
                  </w:txbxContent>
                </v:textbox>
              </v:rect>
            </w:pict>
          </mc:Fallback>
        </mc:AlternateContent>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rFonts w:ascii="Calibri" w:hAnsi="Calibri" w:cs="Arial" w:asciiTheme="minorHAnsi" w:hAnsiTheme="minorHAnsi"/>
          <w:b/>
          <w:b/>
        </w:rPr>
      </w:pPr>
      <w:r>
        <w:rPr>
          <w:rFonts w:cs="Arial" w:ascii="Calibri" w:hAnsi="Calibri"/>
          <w:b/>
        </w:rPr>
      </w:r>
    </w:p>
    <w:p>
      <w:pPr>
        <w:pStyle w:val="Normal"/>
        <w:jc w:val="center"/>
        <w:rPr/>
      </w:pPr>
      <w:r>
        <w:rPr/>
      </w:r>
    </w:p>
    <w:sectPr>
      <w:footerReference w:type="default" r:id="rId4"/>
      <w:type w:val="nextPage"/>
      <w:pgSz w:w="11906" w:h="16838"/>
      <w:pgMar w:left="1701" w:right="1134" w:header="0" w:top="1418" w:footer="708"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Atualização de Editais da Consultoria-Geral da União</w:t>
    </w:r>
  </w:p>
  <w:p>
    <w:pPr>
      <w:pStyle w:val="Rodap"/>
      <w:rPr>
        <w:rFonts w:ascii="Arial" w:hAnsi="Arial" w:cs="Arial"/>
        <w:sz w:val="12"/>
        <w:szCs w:val="12"/>
      </w:rPr>
    </w:pPr>
    <w:r>
      <w:rPr>
        <w:rFonts w:cs="Arial" w:ascii="Arial" w:hAnsi="Arial"/>
        <w:sz w:val="12"/>
        <w:szCs w:val="12"/>
      </w:rPr>
      <w:t>Edital modelo para Pregão Eletrônico: Compras - Habilitação Simplificada – Exclusivo ME/EEP/COOP 116</w:t>
    </w:r>
  </w:p>
  <w:p>
    <w:pPr>
      <w:pStyle w:val="Rodap"/>
      <w:rPr>
        <w:rFonts w:ascii="Arial" w:hAnsi="Arial" w:cs="Arial"/>
      </w:rPr>
    </w:pPr>
    <w:r>
      <w:rPr>
        <w:rFonts w:cs="Arial" w:ascii="Arial" w:hAnsi="Arial"/>
        <w:sz w:val="12"/>
        <w:szCs w:val="12"/>
      </w:rPr>
      <w:t>Atualização:  Maio/2017</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rPr>
    </w:lvl>
    <w:lvl w:ilvl="1">
      <w:start w:val="1"/>
      <w:numFmt w:val="decimal"/>
      <w:lvlText w:val="%1.%2."/>
      <w:lvlJc w:val="left"/>
      <w:pPr>
        <w:ind w:left="858" w:hanging="432"/>
      </w:pPr>
      <w:rPr>
        <w:sz w:val="20"/>
        <w:i w:val="false"/>
        <w:b/>
        <w:rFonts w:ascii="Arial" w:hAnsi="Arial"/>
        <w:color w:val="00000A"/>
      </w:rPr>
    </w:lvl>
    <w:lvl w:ilvl="2">
      <w:start w:val="1"/>
      <w:numFmt w:val="decimal"/>
      <w:lvlText w:val="%1.%2.%3."/>
      <w:lvlJc w:val="left"/>
      <w:pPr>
        <w:ind w:left="1355" w:hanging="504"/>
      </w:pPr>
      <w:rPr>
        <w:dstrike w:val="false"/>
        <w:strike w:val="false"/>
        <w:sz w:val="20"/>
        <w:b w:val="false"/>
        <w:rFonts w:ascii="Arial" w:hAnsi="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rPr>
        <w:b/>
      </w:rPr>
    </w:lvl>
    <w:lvl w:ilvl="1">
      <w:start w:val="1"/>
      <w:numFmt w:val="decimal"/>
      <w:lvlText w:val="%1.%2."/>
      <w:lvlJc w:val="left"/>
      <w:pPr>
        <w:ind w:left="858" w:hanging="432"/>
      </w:pPr>
      <w:rPr>
        <w:sz w:val="20"/>
        <w:i w:val="false"/>
        <w:b/>
        <w:color w:val="00000A"/>
      </w:rPr>
    </w:lvl>
    <w:lvl w:ilvl="2">
      <w:start w:val="1"/>
      <w:numFmt w:val="decimal"/>
      <w:lvlText w:val="%1.%2.%3."/>
      <w:lvlJc w:val="left"/>
      <w:pPr>
        <w:ind w:left="1355" w:hanging="504"/>
      </w:pPr>
      <w:rPr>
        <w:dstrike w:val="false"/>
        <w:strike w:val="false"/>
        <w:sz w:val="20"/>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sz w:val="20"/>
        <w:b/>
      </w:rPr>
    </w:lvl>
    <w:lvl w:ilvl="1">
      <w:start w:val="1"/>
      <w:numFmt w:val="decimal"/>
      <w:lvlText w:val="%1.%2."/>
      <w:lvlJc w:val="left"/>
      <w:pPr>
        <w:ind w:left="858" w:hanging="432"/>
      </w:pPr>
      <w:rPr>
        <w:sz w:val="20"/>
        <w:i w:val="false"/>
        <w:b/>
        <w:color w:val="00000A"/>
      </w:rPr>
    </w:lvl>
    <w:lvl w:ilvl="2">
      <w:start w:val="1"/>
      <w:numFmt w:val="decimal"/>
      <w:lvlText w:val="%1.%2.%3."/>
      <w:lvlJc w:val="left"/>
      <w:pPr>
        <w:ind w:left="1355" w:hanging="504"/>
      </w:pPr>
      <w:rPr>
        <w:dstrike w:val="false"/>
        <w:strike w:val="false"/>
        <w:sz w:val="20"/>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Times New Roman" w:cs="Tahoma"/>
      <w:color w:val="00000A"/>
      <w:sz w:val="24"/>
      <w:szCs w:val="24"/>
      <w:lang w:val="pt-BR" w:eastAsia="pt-BR" w:bidi="ar-SA"/>
    </w:rPr>
  </w:style>
  <w:style w:type="paragraph" w:styleId="Ttulo1">
    <w:name w:val="Heading 1"/>
    <w:basedOn w:val="Normal"/>
    <w:next w:val="Normal"/>
    <w:link w:val="Ttulo1Char"/>
    <w:qFormat/>
    <w:rsid w:val="0083293c"/>
    <w:pPr>
      <w:keepNext/>
      <w:keepLines/>
      <w:spacing w:before="240" w:after="0"/>
      <w:outlineLvl w:val="0"/>
    </w:pPr>
    <w:rPr>
      <w:rFonts w:ascii="Cambria" w:hAnsi="Cambria" w:eastAsia="ＭＳ ゴシック"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83293c"/>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qFormat/>
    <w:rsid w:val="00ca24fb"/>
    <w:rPr>
      <w:rFonts w:ascii="Ecofont_Spranq_eco_Sans" w:hAnsi="Ecofont_Spranq_eco_Sans" w:cs="Tahoma"/>
      <w:sz w:val="24"/>
      <w:szCs w:val="24"/>
    </w:rPr>
  </w:style>
  <w:style w:type="character" w:styleId="Ttulo1Char" w:customStyle="1">
    <w:name w:val="Título 1 Char"/>
    <w:basedOn w:val="DefaultParagraphFont"/>
    <w:link w:val="Ttulo1"/>
    <w:qFormat/>
    <w:rsid w:val="0083293c"/>
    <w:rPr>
      <w:rFonts w:ascii="Cambria" w:hAnsi="Cambria" w:eastAsia="ＭＳ ゴシック" w:cs="" w:asciiTheme="majorHAnsi" w:cstheme="majorBidi" w:eastAsiaTheme="majorEastAsia" w:hAnsiTheme="majorHAnsi"/>
      <w:color w:val="365F91" w:themeColor="accent1" w:themeShade="bf"/>
      <w:sz w:val="32"/>
      <w:szCs w:val="32"/>
    </w:rPr>
  </w:style>
  <w:style w:type="character" w:styleId="Nivel01Char" w:customStyle="1">
    <w:name w:val="Nivel 01 Char"/>
    <w:basedOn w:val="DefaultParagraphFont"/>
    <w:link w:val="Nivel01"/>
    <w:qFormat/>
    <w:rsid w:val="0012731a"/>
    <w:rPr>
      <w:rFonts w:ascii="Ecofont_Spranq_eco_Sans" w:hAnsi="Ecofont_Spranq_eco_Sans" w:eastAsia="ＭＳ ゴシック" w:eastAsiaTheme="majorEastAsia"/>
      <w:b/>
      <w:bCs/>
      <w:color w:val="000000"/>
    </w:rPr>
  </w:style>
  <w:style w:type="character" w:styleId="Annotationreference">
    <w:name w:val="annotation reference"/>
    <w:basedOn w:val="DefaultParagraphFont"/>
    <w:semiHidden/>
    <w:unhideWhenUsed/>
    <w:qFormat/>
    <w:rsid w:val="00422614"/>
    <w:rPr>
      <w:sz w:val="16"/>
      <w:szCs w:val="16"/>
    </w:rPr>
  </w:style>
  <w:style w:type="character" w:styleId="TextodecomentrioChar" w:customStyle="1">
    <w:name w:val="Texto de comentário Char"/>
    <w:basedOn w:val="DefaultParagraphFont"/>
    <w:link w:val="Textodecomentrio"/>
    <w:qFormat/>
    <w:rsid w:val="00422614"/>
    <w:rPr>
      <w:rFonts w:ascii="Ecofont_Spranq_eco_Sans" w:hAnsi="Ecofont_Spranq_eco_Sans" w:eastAsia="ＭＳ 明朝" w:cs="Tahoma" w:eastAsiaTheme="minorEastAsia"/>
    </w:rPr>
  </w:style>
  <w:style w:type="character" w:styleId="ListLabel1">
    <w:name w:val="ListLabel 1"/>
    <w:qFormat/>
    <w:rPr>
      <w:rFonts w:ascii="Arial" w:hAnsi="Arial"/>
      <w:b/>
      <w:sz w:val="20"/>
    </w:rPr>
  </w:style>
  <w:style w:type="character" w:styleId="ListLabel2">
    <w:name w:val="ListLabel 2"/>
    <w:qFormat/>
    <w:rPr>
      <w:rFonts w:ascii="Arial" w:hAnsi="Arial"/>
      <w:b/>
      <w:i w:val="false"/>
      <w:color w:val="00000A"/>
      <w:sz w:val="20"/>
    </w:rPr>
  </w:style>
  <w:style w:type="character" w:styleId="ListLabel3">
    <w:name w:val="ListLabel 3"/>
    <w:qFormat/>
    <w:rPr>
      <w:rFonts w:ascii="Arial" w:hAnsi="Arial"/>
      <w:b w:val="false"/>
      <w:strike w:val="false"/>
      <w:dstrike w:val="false"/>
      <w:sz w:val="20"/>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eastAsia="Arial Unicode MS"/>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rFonts w:cs="Arial"/>
      <w:i/>
      <w:color w:val="FF0000"/>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color w:val="0000FF"/>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i w:val="false"/>
    </w:rPr>
  </w:style>
  <w:style w:type="character" w:styleId="ListLabel41">
    <w:name w:val="ListLabel 41"/>
    <w:qFormat/>
    <w:rPr>
      <w:b/>
      <w:i w:val="false"/>
      <w:color w:val="00000A"/>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rPr>
  </w:style>
  <w:style w:type="character" w:styleId="ListLabel46">
    <w:name w:val="ListLabel 46"/>
    <w:qFormat/>
    <w:rPr>
      <w:b/>
      <w:i w:val="false"/>
      <w:color w:val="00000A"/>
    </w:rPr>
  </w:style>
  <w:style w:type="character" w:styleId="ListLabel47">
    <w:name w:val="ListLabel 47"/>
    <w:qFormat/>
    <w:rPr>
      <w:b/>
      <w:i w:val="false"/>
    </w:rPr>
  </w:style>
  <w:style w:type="character" w:styleId="ListLabel48">
    <w:name w:val="ListLabel 48"/>
    <w:qFormat/>
    <w:rPr>
      <w:b/>
      <w:i w:val="false"/>
    </w:rPr>
  </w:style>
  <w:style w:type="character" w:styleId="ListLabel49">
    <w:name w:val="ListLabel 49"/>
    <w:qFormat/>
    <w:rPr>
      <w:b/>
      <w:i w:val="false"/>
    </w:rPr>
  </w:style>
  <w:style w:type="character" w:styleId="ListLabel50">
    <w:name w:val="ListLabel 50"/>
    <w:qFormat/>
    <w:rPr>
      <w:b w:val="false"/>
    </w:rPr>
  </w:style>
  <w:style w:type="character" w:styleId="ListLabel51">
    <w:name w:val="ListLabel 51"/>
    <w:qFormat/>
    <w:rPr>
      <w:b w:val="false"/>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rPr>
  </w:style>
  <w:style w:type="character" w:styleId="ListLabel58">
    <w:name w:val="ListLabel 58"/>
    <w:qFormat/>
    <w:rPr>
      <w:b w:val="false"/>
    </w:rPr>
  </w:style>
  <w:style w:type="character" w:styleId="ListLabel59">
    <w:name w:val="ListLabel 59"/>
    <w:qFormat/>
    <w:rPr>
      <w:color w:val="00000A"/>
    </w:rPr>
  </w:style>
  <w:style w:type="character" w:styleId="ListLabel60">
    <w:name w:val="ListLabel 60"/>
    <w:qFormat/>
    <w:rPr>
      <w:color w:val="00000A"/>
    </w:rPr>
  </w:style>
  <w:style w:type="character" w:styleId="ListLabel61">
    <w:name w:val="ListLabel 61"/>
    <w:qFormat/>
    <w:rPr>
      <w:color w:val="00000A"/>
    </w:rPr>
  </w:style>
  <w:style w:type="character" w:styleId="ListLabel62">
    <w:name w:val="ListLabel 62"/>
    <w:qFormat/>
    <w:rPr>
      <w:color w:val="00000A"/>
    </w:rPr>
  </w:style>
  <w:style w:type="character" w:styleId="ListLabel63">
    <w:name w:val="ListLabel 63"/>
    <w:qFormat/>
    <w:rPr>
      <w:color w:val="00000A"/>
    </w:rPr>
  </w:style>
  <w:style w:type="character" w:styleId="ListLabel64">
    <w:name w:val="ListLabel 64"/>
    <w:qFormat/>
    <w:rPr>
      <w:color w:val="00000A"/>
    </w:rPr>
  </w:style>
  <w:style w:type="character" w:styleId="ListLabel65">
    <w:name w:val="ListLabel 65"/>
    <w:qFormat/>
    <w:rPr>
      <w:color w:val="00000A"/>
    </w:rPr>
  </w:style>
  <w:style w:type="character" w:styleId="ListLabel66">
    <w:name w:val="ListLabel 66"/>
    <w:qFormat/>
    <w:rPr>
      <w:color w:val="00000A"/>
    </w:rPr>
  </w:style>
  <w:style w:type="character" w:styleId="ListLabel67">
    <w:name w:val="ListLabel 67"/>
    <w:qFormat/>
    <w:rPr>
      <w:color w:val="00000A"/>
    </w:rPr>
  </w:style>
  <w:style w:type="character" w:styleId="ListLabel68">
    <w:name w:val="ListLabel 68"/>
    <w:qFormat/>
    <w:rPr>
      <w:color w:val="00000A"/>
    </w:rPr>
  </w:style>
  <w:style w:type="character" w:styleId="ListLabel69">
    <w:name w:val="ListLabel 69"/>
    <w:qFormat/>
    <w:rPr>
      <w:color w:val="00000A"/>
    </w:rPr>
  </w:style>
  <w:style w:type="character" w:styleId="ListLabel70">
    <w:name w:val="ListLabel 70"/>
    <w:qFormat/>
    <w:rPr>
      <w:color w:val="00000A"/>
    </w:rPr>
  </w:style>
  <w:style w:type="character" w:styleId="ListLabel71">
    <w:name w:val="ListLabel 71"/>
    <w:qFormat/>
    <w:rPr>
      <w:color w:val="00000A"/>
    </w:rPr>
  </w:style>
  <w:style w:type="character" w:styleId="ListLabel72">
    <w:name w:val="ListLabel 72"/>
    <w:qFormat/>
    <w:rPr>
      <w:color w:val="00000A"/>
    </w:rPr>
  </w:style>
  <w:style w:type="character" w:styleId="ListLabel73">
    <w:name w:val="ListLabel 73"/>
    <w:qFormat/>
    <w:rPr>
      <w:color w:val="00000A"/>
    </w:rPr>
  </w:style>
  <w:style w:type="character" w:styleId="ListLabel74">
    <w:name w:val="ListLabel 74"/>
    <w:qFormat/>
    <w:rPr>
      <w:color w:val="00000A"/>
    </w:rPr>
  </w:style>
  <w:style w:type="character" w:styleId="ListLabel75">
    <w:name w:val="ListLabel 75"/>
    <w:qFormat/>
    <w:rPr>
      <w:color w:val="00000A"/>
    </w:rPr>
  </w:style>
  <w:style w:type="character" w:styleId="ListLabel76">
    <w:name w:val="ListLabel 76"/>
    <w:qFormat/>
    <w:rPr>
      <w:color w:val="00000A"/>
    </w:rPr>
  </w:style>
  <w:style w:type="character" w:styleId="ListLabel77">
    <w:name w:val="ListLabel 77"/>
    <w:qFormat/>
    <w:rPr>
      <w:i w:val="false"/>
    </w:rPr>
  </w:style>
  <w:style w:type="character" w:styleId="ListLabel78">
    <w:name w:val="ListLabel 78"/>
    <w:qFormat/>
    <w:rPr>
      <w:b/>
    </w:rPr>
  </w:style>
  <w:style w:type="character" w:styleId="ListLabel79">
    <w:name w:val="ListLabel 79"/>
    <w:qFormat/>
    <w:rPr>
      <w:b w:val="false"/>
      <w:i w:val="false"/>
    </w:rPr>
  </w:style>
  <w:style w:type="character" w:styleId="ListLabel80">
    <w:name w:val="ListLabel 80"/>
    <w:qFormat/>
    <w:rPr>
      <w:b w:val="false"/>
      <w:strike w:val="false"/>
      <w:dstrike w:val="false"/>
    </w:rPr>
  </w:style>
  <w:style w:type="character" w:styleId="ListLabel81">
    <w:name w:val="ListLabel 81"/>
    <w:qFormat/>
    <w:rPr>
      <w:color w:val="00000A"/>
    </w:rPr>
  </w:style>
  <w:style w:type="character" w:styleId="ListLabel82">
    <w:name w:val="ListLabel 82"/>
    <w:qFormat/>
    <w:rPr>
      <w:b w:val="false"/>
    </w:rPr>
  </w:style>
  <w:style w:type="character" w:styleId="ListLabel83">
    <w:name w:val="ListLabel 83"/>
    <w:qFormat/>
    <w:rPr>
      <w:b w:val="false"/>
    </w:rPr>
  </w:style>
  <w:style w:type="character" w:styleId="ListLabel84">
    <w:name w:val="ListLabel 84"/>
    <w:qFormat/>
    <w:rPr>
      <w:b w:val="false"/>
    </w:rPr>
  </w:style>
  <w:style w:type="character" w:styleId="ListLabel85">
    <w:name w:val="ListLabel 85"/>
    <w:qFormat/>
    <w:rPr>
      <w:b w:val="false"/>
    </w:rPr>
  </w:style>
  <w:style w:type="character" w:styleId="ListLabel86">
    <w:name w:val="ListLabel 86"/>
    <w:qFormat/>
    <w:rPr>
      <w:b w:val="false"/>
    </w:rPr>
  </w:style>
  <w:style w:type="character" w:styleId="ListLabel87">
    <w:name w:val="ListLabel 87"/>
    <w:qFormat/>
    <w:rPr>
      <w:b w:val="false"/>
    </w:rPr>
  </w:style>
  <w:style w:type="character" w:styleId="ListLabel88">
    <w:name w:val="ListLabel 88"/>
    <w:qFormat/>
    <w:rPr>
      <w:b w:val="false"/>
    </w:rPr>
  </w:style>
  <w:style w:type="character" w:styleId="ListLabel89">
    <w:name w:val="ListLabel 89"/>
    <w:qFormat/>
    <w:rPr>
      <w:b w:val="false"/>
    </w:rPr>
  </w:style>
  <w:style w:type="character" w:styleId="ListLabel90">
    <w:name w:val="ListLabel 90"/>
    <w:qFormat/>
    <w:rPr>
      <w:b w:val="false"/>
    </w:rPr>
  </w:style>
  <w:style w:type="character" w:styleId="ListLabel91">
    <w:name w:val="ListLabel 91"/>
    <w:qFormat/>
    <w:rPr>
      <w:b w:val="false"/>
    </w:rPr>
  </w:style>
  <w:style w:type="character" w:styleId="ListLabel92">
    <w:name w:val="ListLabel 92"/>
    <w:qFormat/>
    <w:rPr>
      <w:b w:val="false"/>
    </w:rPr>
  </w:style>
  <w:style w:type="character" w:styleId="ListLabel93">
    <w:name w:val="ListLabel 93"/>
    <w:qFormat/>
    <w:rPr>
      <w:b w:val="false"/>
    </w:rPr>
  </w:style>
  <w:style w:type="character" w:styleId="ListLabel94">
    <w:name w:val="ListLabel 94"/>
    <w:qFormat/>
    <w:rPr>
      <w:b w:val="false"/>
    </w:rPr>
  </w:style>
  <w:style w:type="character" w:styleId="ListLabel95">
    <w:name w:val="ListLabel 95"/>
    <w:qFormat/>
    <w:rPr>
      <w:b w:val="false"/>
    </w:rPr>
  </w:style>
  <w:style w:type="character" w:styleId="ListLabel96">
    <w:name w:val="ListLabel 96"/>
    <w:qFormat/>
    <w:rPr>
      <w:b w:val="false"/>
    </w:rPr>
  </w:style>
  <w:style w:type="character" w:styleId="ListLabel97">
    <w:name w:val="ListLabel 97"/>
    <w:qFormat/>
    <w:rPr>
      <w:b w:val="false"/>
    </w:rPr>
  </w:style>
  <w:style w:type="character" w:styleId="ListLabel98">
    <w:name w:val="ListLabel 98"/>
    <w:qFormat/>
    <w:rPr>
      <w:b w:val="false"/>
    </w:rPr>
  </w:style>
  <w:style w:type="character" w:styleId="ListLabel99">
    <w:name w:val="ListLabel 99"/>
    <w:qFormat/>
    <w:rPr>
      <w:b w:val="false"/>
    </w:rPr>
  </w:style>
  <w:style w:type="character" w:styleId="ListLabel100">
    <w:name w:val="ListLabel 100"/>
    <w:qFormat/>
    <w:rPr>
      <w:b w:val="false"/>
    </w:rPr>
  </w:style>
  <w:style w:type="character" w:styleId="ListLabel101">
    <w:name w:val="ListLabel 101"/>
    <w:qFormat/>
    <w:rPr>
      <w:color w:val="00000A"/>
    </w:rPr>
  </w:style>
  <w:style w:type="character" w:styleId="ListLabel102">
    <w:name w:val="ListLabel 102"/>
    <w:qFormat/>
    <w:rPr>
      <w:b w:val="false"/>
      <w:color w:val="00000A"/>
    </w:rPr>
  </w:style>
  <w:style w:type="character" w:styleId="ListLabel103">
    <w:name w:val="ListLabel 103"/>
    <w:qFormat/>
    <w:rPr>
      <w:color w:val="00000A"/>
    </w:rPr>
  </w:style>
  <w:style w:type="character" w:styleId="ListLabel104">
    <w:name w:val="ListLabel 104"/>
    <w:qFormat/>
    <w:rPr>
      <w:color w:val="00000A"/>
    </w:rPr>
  </w:style>
  <w:style w:type="character" w:styleId="ListLabel105">
    <w:name w:val="ListLabel 105"/>
    <w:qFormat/>
    <w:rPr>
      <w:color w:val="00000A"/>
    </w:rPr>
  </w:style>
  <w:style w:type="character" w:styleId="ListLabel106">
    <w:name w:val="ListLabel 106"/>
    <w:qFormat/>
    <w:rPr>
      <w:color w:val="00000A"/>
    </w:rPr>
  </w:style>
  <w:style w:type="character" w:styleId="ListLabel107">
    <w:name w:val="ListLabel 107"/>
    <w:qFormat/>
    <w:rPr>
      <w:color w:val="00000A"/>
    </w:rPr>
  </w:style>
  <w:style w:type="character" w:styleId="ListLabel108">
    <w:name w:val="ListLabel 108"/>
    <w:qFormat/>
    <w:rPr>
      <w:color w:val="00000A"/>
    </w:rPr>
  </w:style>
  <w:style w:type="character" w:styleId="ListLabel109">
    <w:name w:val="ListLabel 109"/>
    <w:qFormat/>
    <w:rPr>
      <w:color w:val="00000A"/>
    </w:rPr>
  </w:style>
  <w:style w:type="character" w:styleId="ListLabel110">
    <w:name w:val="ListLabel 110"/>
    <w:qFormat/>
    <w:rPr>
      <w:b/>
    </w:rPr>
  </w:style>
  <w:style w:type="character" w:styleId="ListLabel111">
    <w:name w:val="ListLabel 111"/>
    <w:qFormat/>
    <w:rPr>
      <w:b w:val="false"/>
      <w:i w:val="false"/>
      <w:color w:val="00000A"/>
    </w:rPr>
  </w:style>
  <w:style w:type="character" w:styleId="ListLabel112">
    <w:name w:val="ListLabel 112"/>
    <w:qFormat/>
    <w:rPr>
      <w:b w:val="false"/>
      <w:strike w:val="false"/>
      <w:dstrike w:val="false"/>
    </w:rPr>
  </w:style>
  <w:style w:type="character" w:styleId="ListLabel113">
    <w:name w:val="ListLabel 113"/>
    <w:qFormat/>
    <w:rPr>
      <w:b/>
    </w:rPr>
  </w:style>
  <w:style w:type="character" w:styleId="ListLabel114">
    <w:name w:val="ListLabel 114"/>
    <w:qFormat/>
    <w:rPr>
      <w:rFonts w:ascii="Arial" w:hAnsi="Arial"/>
      <w:b/>
      <w:i w:val="false"/>
      <w:color w:val="00000A"/>
      <w:sz w:val="20"/>
    </w:rPr>
  </w:style>
  <w:style w:type="character" w:styleId="ListLabel115">
    <w:name w:val="ListLabel 115"/>
    <w:qFormat/>
    <w:rPr>
      <w:rFonts w:ascii="Arial" w:hAnsi="Arial"/>
      <w:b/>
      <w:strike w:val="false"/>
      <w:dstrike w:val="false"/>
      <w:sz w:val="20"/>
    </w:rPr>
  </w:style>
  <w:style w:type="character" w:styleId="ListLabel116">
    <w:name w:val="ListLabel 116"/>
    <w:qFormat/>
    <w:rPr>
      <w:b/>
    </w:rPr>
  </w:style>
  <w:style w:type="character" w:styleId="ListLabel117">
    <w:name w:val="ListLabel 117"/>
    <w:qFormat/>
    <w:rPr>
      <w:b w:val="false"/>
      <w:i w:val="false"/>
      <w:color w:val="00000A"/>
    </w:rPr>
  </w:style>
  <w:style w:type="character" w:styleId="ListLabel118">
    <w:name w:val="ListLabel 118"/>
    <w:qFormat/>
    <w:rPr>
      <w:b w:val="false"/>
      <w:strike w:val="false"/>
      <w:dstrike w:val="false"/>
    </w:rPr>
  </w:style>
  <w:style w:type="character" w:styleId="ListLabel119">
    <w:name w:val="ListLabel 119"/>
    <w:qFormat/>
    <w:rPr>
      <w:b/>
    </w:rPr>
  </w:style>
  <w:style w:type="character" w:styleId="ListLabel120">
    <w:name w:val="ListLabel 120"/>
    <w:qFormat/>
    <w:rPr>
      <w:b w:val="false"/>
      <w:i w:val="false"/>
      <w:color w:val="00000A"/>
    </w:rPr>
  </w:style>
  <w:style w:type="character" w:styleId="ListLabel121">
    <w:name w:val="ListLabel 121"/>
    <w:qFormat/>
    <w:rPr>
      <w:b w:val="false"/>
      <w:strike w:val="false"/>
      <w:dstrike w:val="false"/>
    </w:rPr>
  </w:style>
  <w:style w:type="character" w:styleId="ListLabel122">
    <w:name w:val="ListLabel 122"/>
    <w:qFormat/>
    <w:rPr>
      <w:rFonts w:ascii="Arial" w:hAnsi="Arial"/>
      <w:b/>
      <w:sz w:val="20"/>
    </w:rPr>
  </w:style>
  <w:style w:type="character" w:styleId="ListLabel123">
    <w:name w:val="ListLabel 123"/>
    <w:qFormat/>
    <w:rPr>
      <w:rFonts w:ascii="Arial" w:hAnsi="Arial"/>
      <w:b/>
      <w:i w:val="false"/>
      <w:color w:val="00000A"/>
      <w:sz w:val="20"/>
    </w:rPr>
  </w:style>
  <w:style w:type="character" w:styleId="ListLabel124">
    <w:name w:val="ListLabel 124"/>
    <w:qFormat/>
    <w:rPr>
      <w:rFonts w:ascii="Arial" w:hAnsi="Arial"/>
      <w:b w:val="false"/>
      <w:strike w:val="false"/>
      <w:dstrike w:val="false"/>
      <w:sz w:val="20"/>
    </w:rPr>
  </w:style>
  <w:style w:type="character" w:styleId="ListLabel125">
    <w:name w:val="ListLabel 125"/>
    <w:qFormat/>
    <w:rPr>
      <w:b/>
    </w:rPr>
  </w:style>
  <w:style w:type="character" w:styleId="ListLabel126">
    <w:name w:val="ListLabel 126"/>
    <w:qFormat/>
    <w:rPr>
      <w:rFonts w:ascii="Arial" w:hAnsi="Arial"/>
      <w:b/>
      <w:i w:val="false"/>
      <w:color w:val="00000A"/>
      <w:sz w:val="20"/>
    </w:rPr>
  </w:style>
  <w:style w:type="character" w:styleId="ListLabel127">
    <w:name w:val="ListLabel 127"/>
    <w:qFormat/>
    <w:rPr>
      <w:rFonts w:ascii="Arial" w:hAnsi="Arial"/>
      <w:b/>
      <w:strike w:val="false"/>
      <w:dstrike w:val="false"/>
      <w:sz w:val="20"/>
    </w:rPr>
  </w:style>
  <w:style w:type="character" w:styleId="Strong">
    <w:name w:val="Strong"/>
    <w:basedOn w:val="DefaultParagraphFont"/>
    <w:qFormat/>
    <w:rPr>
      <w:b/>
      <w:bCs/>
    </w:rPr>
  </w:style>
  <w:style w:type="character" w:styleId="Tex3">
    <w:name w:val="tex3"/>
    <w:basedOn w:val="DefaultParagraphFont"/>
    <w:qFormat/>
    <w:rPr/>
  </w:style>
  <w:style w:type="character" w:styleId="ListLabel128">
    <w:name w:val="ListLabel 128"/>
    <w:qFormat/>
    <w:rPr>
      <w:rFonts w:ascii="Arial" w:hAnsi="Arial"/>
      <w:b/>
      <w:sz w:val="20"/>
    </w:rPr>
  </w:style>
  <w:style w:type="character" w:styleId="ListLabel129">
    <w:name w:val="ListLabel 129"/>
    <w:qFormat/>
    <w:rPr>
      <w:rFonts w:ascii="Arial" w:hAnsi="Arial"/>
      <w:b/>
      <w:i w:val="false"/>
      <w:color w:val="00000A"/>
      <w:sz w:val="20"/>
    </w:rPr>
  </w:style>
  <w:style w:type="character" w:styleId="ListLabel130">
    <w:name w:val="ListLabel 130"/>
    <w:qFormat/>
    <w:rPr>
      <w:rFonts w:ascii="Arial" w:hAnsi="Arial"/>
      <w:b w:val="false"/>
      <w:strike w:val="false"/>
      <w:dstrike w:val="false"/>
      <w:sz w:val="20"/>
    </w:rPr>
  </w:style>
  <w:style w:type="character" w:styleId="ListLabel131">
    <w:name w:val="ListLabel 131"/>
    <w:qFormat/>
    <w:rPr>
      <w:b/>
    </w:rPr>
  </w:style>
  <w:style w:type="character" w:styleId="ListLabel132">
    <w:name w:val="ListLabel 132"/>
    <w:qFormat/>
    <w:rPr>
      <w:rFonts w:ascii="Arial" w:hAnsi="Arial"/>
      <w:b/>
      <w:i w:val="false"/>
      <w:color w:val="00000A"/>
      <w:sz w:val="20"/>
    </w:rPr>
  </w:style>
  <w:style w:type="character" w:styleId="ListLabel133">
    <w:name w:val="ListLabel 133"/>
    <w:qFormat/>
    <w:rPr>
      <w:rFonts w:ascii="Arial" w:hAnsi="Arial"/>
      <w:b/>
      <w:strike w:val="false"/>
      <w:dstrike w:val="false"/>
      <w:sz w:val="20"/>
    </w:rPr>
  </w:style>
  <w:style w:type="character" w:styleId="ListLabel134">
    <w:name w:val="ListLabel 134"/>
    <w:qFormat/>
    <w:rPr>
      <w:color w:val="00000A"/>
    </w:rPr>
  </w:style>
  <w:style w:type="character" w:styleId="ListLabel135">
    <w:name w:val="ListLabel 135"/>
    <w:qFormat/>
    <w:rPr>
      <w:rFonts w:ascii="Arial" w:hAnsi="Arial"/>
      <w:b/>
      <w:sz w:val="20"/>
    </w:rPr>
  </w:style>
  <w:style w:type="character" w:styleId="ListLabel136">
    <w:name w:val="ListLabel 136"/>
    <w:qFormat/>
    <w:rPr>
      <w:rFonts w:ascii="Arial" w:hAnsi="Arial"/>
      <w:b/>
      <w:i w:val="false"/>
      <w:color w:val="00000A"/>
      <w:sz w:val="20"/>
    </w:rPr>
  </w:style>
  <w:style w:type="character" w:styleId="ListLabel137">
    <w:name w:val="ListLabel 137"/>
    <w:qFormat/>
    <w:rPr>
      <w:rFonts w:ascii="Arial" w:hAnsi="Arial"/>
      <w:b w:val="false"/>
      <w:strike w:val="false"/>
      <w:dstrike w:val="false"/>
      <w:sz w:val="20"/>
    </w:rPr>
  </w:style>
  <w:style w:type="character" w:styleId="ListLabel138">
    <w:name w:val="ListLabel 138"/>
    <w:qFormat/>
    <w:rPr>
      <w:b/>
    </w:rPr>
  </w:style>
  <w:style w:type="character" w:styleId="ListLabel139">
    <w:name w:val="ListLabel 139"/>
    <w:qFormat/>
    <w:rPr>
      <w:rFonts w:ascii="Arial" w:hAnsi="Arial"/>
      <w:b/>
      <w:i w:val="false"/>
      <w:color w:val="00000A"/>
      <w:sz w:val="20"/>
    </w:rPr>
  </w:style>
  <w:style w:type="character" w:styleId="ListLabel140">
    <w:name w:val="ListLabel 140"/>
    <w:qFormat/>
    <w:rPr>
      <w:rFonts w:ascii="Arial" w:hAnsi="Arial"/>
      <w:b/>
      <w:strike w:val="false"/>
      <w:dstrike w:val="false"/>
      <w:sz w:val="20"/>
    </w:rPr>
  </w:style>
  <w:style w:type="character" w:styleId="ListLabel141">
    <w:name w:val="ListLabel 141"/>
    <w:qFormat/>
    <w:rPr>
      <w:color w:val="00000A"/>
    </w:rPr>
  </w:style>
  <w:style w:type="character" w:styleId="ListLabel142">
    <w:name w:val="ListLabel 142"/>
    <w:qFormat/>
    <w:rPr>
      <w:rFonts w:ascii="Arial" w:hAnsi="Arial"/>
      <w:b/>
      <w:sz w:val="20"/>
    </w:rPr>
  </w:style>
  <w:style w:type="character" w:styleId="ListLabel143">
    <w:name w:val="ListLabel 143"/>
    <w:qFormat/>
    <w:rPr>
      <w:rFonts w:ascii="Arial" w:hAnsi="Arial"/>
      <w:b/>
      <w:i w:val="false"/>
      <w:color w:val="00000A"/>
      <w:sz w:val="20"/>
    </w:rPr>
  </w:style>
  <w:style w:type="character" w:styleId="ListLabel144">
    <w:name w:val="ListLabel 144"/>
    <w:qFormat/>
    <w:rPr>
      <w:rFonts w:ascii="Arial" w:hAnsi="Arial"/>
      <w:b w:val="false"/>
      <w:strike w:val="false"/>
      <w:dstrike w:val="false"/>
      <w:sz w:val="20"/>
    </w:rPr>
  </w:style>
  <w:style w:type="character" w:styleId="ListLabel145">
    <w:name w:val="ListLabel 145"/>
    <w:qFormat/>
    <w:rPr>
      <w:b/>
    </w:rPr>
  </w:style>
  <w:style w:type="character" w:styleId="ListLabel146">
    <w:name w:val="ListLabel 146"/>
    <w:qFormat/>
    <w:rPr>
      <w:b/>
      <w:i w:val="false"/>
      <w:color w:val="00000A"/>
      <w:sz w:val="20"/>
    </w:rPr>
  </w:style>
  <w:style w:type="character" w:styleId="ListLabel147">
    <w:name w:val="ListLabel 147"/>
    <w:qFormat/>
    <w:rPr>
      <w:b/>
      <w:strike w:val="false"/>
      <w:dstrike w:val="false"/>
      <w:sz w:val="20"/>
    </w:rPr>
  </w:style>
  <w:style w:type="character" w:styleId="ListLabel148">
    <w:name w:val="ListLabel 148"/>
    <w:qFormat/>
    <w:rPr>
      <w:b/>
      <w:sz w:val="20"/>
    </w:rPr>
  </w:style>
  <w:style w:type="character" w:styleId="ListLabel149">
    <w:name w:val="ListLabel 149"/>
    <w:qFormat/>
    <w:rPr>
      <w:b/>
      <w:i w:val="false"/>
      <w:color w:val="00000A"/>
      <w:sz w:val="20"/>
    </w:rPr>
  </w:style>
  <w:style w:type="character" w:styleId="ListLabel150">
    <w:name w:val="ListLabel 150"/>
    <w:qFormat/>
    <w:rPr>
      <w:b w:val="false"/>
      <w:strike w:val="false"/>
      <w:dstrike w:val="false"/>
      <w:sz w:val="20"/>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
    <w:name w:val="Header"/>
    <w:basedOn w:val="Normal"/>
    <w:link w:val="CabealhoChar"/>
    <w:rsid w:val="00ca24fb"/>
    <w:pPr>
      <w:tabs>
        <w:tab w:val="center" w:pos="4252" w:leader="none"/>
        <w:tab w:val="right" w:pos="8504" w:leader="none"/>
      </w:tabs>
    </w:pPr>
    <w:rPr/>
  </w:style>
  <w:style w:type="paragraph" w:styleId="Rodap">
    <w:name w:val="Footer"/>
    <w:basedOn w:val="Normal"/>
    <w:link w:val="RodapChar"/>
    <w:rsid w:val="00ca24fb"/>
    <w:pPr>
      <w:tabs>
        <w:tab w:val="center" w:pos="4252" w:leader="none"/>
        <w:tab w:val="right" w:pos="8504" w:leader="none"/>
      </w:tabs>
    </w:pPr>
    <w:rPr/>
  </w:style>
  <w:style w:type="paragraph" w:styleId="Nivel01" w:customStyle="1">
    <w:name w:val="Nivel 01"/>
    <w:basedOn w:val="Ttulo1"/>
    <w:next w:val="Normal"/>
    <w:link w:val="Nivel01Char"/>
    <w:qFormat/>
    <w:rsid w:val="0083293c"/>
    <w:pPr>
      <w:tabs>
        <w:tab w:val="left" w:pos="567" w:leader="none"/>
      </w:tabs>
      <w:jc w:val="both"/>
    </w:pPr>
    <w:rPr>
      <w:rFonts w:ascii="Ecofont_Spranq_eco_Sans" w:hAnsi="Ecofont_Spranq_eco_Sans" w:cs="Times New Roman"/>
      <w:b/>
      <w:bCs/>
      <w:color w:val="000000"/>
      <w:sz w:val="20"/>
      <w:szCs w:val="20"/>
    </w:rPr>
  </w:style>
  <w:style w:type="paragraph" w:styleId="Annotationtext">
    <w:name w:val="annotation text"/>
    <w:basedOn w:val="Normal"/>
    <w:link w:val="TextodecomentrioChar"/>
    <w:unhideWhenUsed/>
    <w:qFormat/>
    <w:rsid w:val="00422614"/>
    <w:pPr/>
    <w:rPr>
      <w:rFonts w:eastAsia="ＭＳ 明朝" w:eastAsiaTheme="minorEastAsia"/>
      <w:sz w:val="20"/>
      <w:szCs w:val="20"/>
    </w:rPr>
  </w:style>
  <w:style w:type="paragraph" w:styleId="Standard">
    <w:name w:val="Standard"/>
    <w:qFormat/>
    <w:pPr>
      <w:widowControl/>
      <w:tabs>
        <w:tab w:val="left" w:pos="708" w:leader="none"/>
      </w:tabs>
      <w:suppressAutoHyphens w:val="true"/>
      <w:bidi w:val="0"/>
      <w:jc w:val="left"/>
      <w:textAlignment w:val="baseline"/>
    </w:pPr>
    <w:rPr>
      <w:rFonts w:ascii="Ecofont_Spranq_eco_Sans" w:hAnsi="Ecofont_Spranq_eco_Sans" w:eastAsia="SimSun" w:cs="Tahoma"/>
      <w:color w:val="00000A"/>
      <w:sz w:val="24"/>
      <w:szCs w:val="24"/>
      <w:lang w:val="pt-BR" w:eastAsia="zh-CN" w:bidi="hi-IN"/>
    </w:rPr>
  </w:style>
  <w:style w:type="paragraph" w:styleId="Contedodatabela">
    <w:name w:val="Conteúdo da tabela"/>
    <w:basedOn w:val="Normal"/>
    <w:qFormat/>
    <w:pPr/>
    <w:rPr/>
  </w:style>
  <w:style w:type="paragraph" w:styleId="Ttulodetabela">
    <w:name w:val="Título de tabela"/>
    <w:basedOn w:val="Contedodatabela"/>
    <w:qFormat/>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numbering" w:styleId="Estilo1" w:customStyle="1">
    <w:name w:val="Estilo1"/>
    <w:uiPriority w:val="99"/>
    <w:qFormat/>
    <w:rsid w:val="007f5956"/>
  </w:style>
  <w:style w:type="numbering" w:styleId="Estilo2" w:customStyle="1">
    <w:name w:val="Estilo2"/>
    <w:uiPriority w:val="99"/>
    <w:qFormat/>
    <w:rsid w:val="00552681"/>
  </w:style>
  <w:style w:type="numbering" w:styleId="Estilo3" w:customStyle="1">
    <w:name w:val="Estilo3"/>
    <w:uiPriority w:val="99"/>
    <w:qFormat/>
    <w:rsid w:val="00552681"/>
  </w:style>
  <w:style w:type="numbering" w:styleId="Estilo4" w:customStyle="1">
    <w:name w:val="Estilo4"/>
    <w:uiPriority w:val="99"/>
    <w:qFormat/>
    <w:rsid w:val="003d2771"/>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97bcd"/>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atransparencia.gov.br/ceis" TargetMode="External"/><Relationship Id="rId3" Type="http://schemas.openxmlformats.org/officeDocument/2006/relationships/hyperlink" Target="http://www.cnj.jus.br/improbidade_adm/consultar_requerido.php"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5BC1-032C-4606-8F54-F004C62F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161</TotalTime>
  <Application>LibreOffice/5.2.5.1$Windows_X86_64 LibreOffice_project/0312e1a284a7d50ca85a365c316c7abbf20a4d22</Application>
  <Pages>20</Pages>
  <Words>8258</Words>
  <Characters>46718</Characters>
  <CharactersWithSpaces>54366</CharactersWithSpaces>
  <Paragraphs>442</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2017-05-31T20:30:00Z</dcterms:created>
  <dc:creator>Adriano</dc:creator>
  <dc:description/>
  <dc:language>pt-BR</dc:language>
  <cp:lastModifiedBy/>
  <dcterms:modified xsi:type="dcterms:W3CDTF">2017-10-09T11:18:19Z</dcterms:modified>
  <cp:revision>37</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