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7"/>
        <w:jc w:val="center"/>
        <w:rPr>
          <w:rFonts w:cs="Times New Roman"/>
          <w:b/>
          <w:bCs/>
          <w:color w:val="000000"/>
          <w:szCs w:val="20"/>
        </w:rPr>
      </w:pPr>
      <w:r>
        <w:rPr>
          <w:rFonts w:cs="Times New Roman"/>
          <w:b/>
          <w:bCs/>
          <w:color w:val="000000"/>
          <w:szCs w:val="20"/>
        </w:rPr>
        <w:t>ANEXO I</w:t>
      </w:r>
    </w:p>
    <w:p>
      <w:pPr>
        <w:ind w:right="-17"/>
        <w:jc w:val="center"/>
        <w:rPr>
          <w:rFonts w:cs="Times New Roman"/>
          <w:b/>
          <w:bCs/>
          <w:color w:val="000000"/>
          <w:szCs w:val="20"/>
        </w:rPr>
      </w:pPr>
    </w:p>
    <w:p>
      <w:pPr>
        <w:ind w:right="-17"/>
        <w:jc w:val="center"/>
        <w:rPr>
          <w:rFonts w:cs="Times New Roman"/>
          <w:b/>
          <w:bCs/>
          <w:color w:val="000000"/>
          <w:szCs w:val="20"/>
        </w:rPr>
      </w:pPr>
    </w:p>
    <w:p>
      <w:pPr>
        <w:ind w:right="-17"/>
        <w:jc w:val="center"/>
        <w:rPr>
          <w:rFonts w:cs="Times New Roman"/>
          <w:b/>
          <w:bCs/>
          <w:color w:val="000000"/>
          <w:szCs w:val="20"/>
        </w:rPr>
      </w:pPr>
      <w:r>
        <w:rPr>
          <w:rFonts w:cs="Times New Roman"/>
          <w:b/>
          <w:bCs/>
          <w:color w:val="000000"/>
          <w:szCs w:val="20"/>
        </w:rPr>
        <w:t>TERMO DE REFERÊNCIA</w:t>
      </w:r>
    </w:p>
    <w:p>
      <w:pPr>
        <w:ind w:right="-17"/>
        <w:jc w:val="center"/>
        <w:rPr>
          <w:rFonts w:cs="Times New Roman"/>
          <w:bCs/>
          <w:color w:val="000000"/>
          <w:szCs w:val="20"/>
        </w:rPr>
      </w:pPr>
      <w:r>
        <w:rPr>
          <w:rFonts w:cs="Times New Roman"/>
          <w:bCs/>
          <w:color w:val="000000"/>
          <w:szCs w:val="20"/>
        </w:rPr>
        <w:t>Sistema de Registro de Preços</w:t>
      </w:r>
    </w:p>
    <w:p>
      <w:pPr>
        <w:ind w:right="-17"/>
        <w:jc w:val="center"/>
        <w:rPr>
          <w:rFonts w:cs="Times New Roman"/>
          <w:b/>
          <w:bCs/>
          <w:color w:val="000000"/>
          <w:szCs w:val="20"/>
        </w:rPr>
      </w:pPr>
    </w:p>
    <w:p>
      <w:pPr>
        <w:ind w:right="-17"/>
        <w:jc w:val="center"/>
        <w:rPr>
          <w:rFonts w:cs="Times New Roman"/>
          <w:b/>
          <w:bCs/>
          <w:color w:val="000000"/>
          <w:szCs w:val="20"/>
        </w:rPr>
      </w:pPr>
      <w:r>
        <w:rPr>
          <w:rFonts w:cs="Times New Roman"/>
          <w:b/>
          <w:bCs/>
          <w:color w:val="000000"/>
          <w:szCs w:val="20"/>
        </w:rPr>
        <w:t xml:space="preserve">PREGÃO PRESENCIAL, ELETRÔNICO </w:t>
      </w:r>
    </w:p>
    <w:p>
      <w:pPr>
        <w:ind w:right="-17"/>
        <w:jc w:val="center"/>
        <w:rPr>
          <w:rFonts w:cs="Times New Roman"/>
          <w:bCs/>
          <w:iCs/>
          <w:szCs w:val="20"/>
        </w:rPr>
      </w:pPr>
      <w:r>
        <w:rPr>
          <w:rFonts w:cs="Times New Roman"/>
          <w:bCs/>
          <w:iCs/>
          <w:szCs w:val="20"/>
        </w:rPr>
        <w:t>PRESTAÇÃO DE SERVIÇO CONTÍNUO COM DEDICAÇÃO EXCLUSIVA DE MÃO DE OBRA</w:t>
      </w:r>
    </w:p>
    <w:p>
      <w:pPr>
        <w:spacing w:after="120" w:line="276" w:lineRule="auto"/>
        <w:ind w:right="-15"/>
        <w:jc w:val="center"/>
        <w:rPr>
          <w:rFonts w:cs="Times New Roman"/>
          <w:bCs/>
          <w:i/>
          <w:color w:val="FF0000"/>
          <w:szCs w:val="20"/>
        </w:rPr>
      </w:pPr>
    </w:p>
    <w:p>
      <w:pPr>
        <w:jc w:val="center"/>
        <w:rPr>
          <w:rFonts w:cs="Times New Roman"/>
          <w:b/>
          <w:bCs/>
          <w:i/>
          <w:color w:val="FF0000"/>
          <w:szCs w:val="20"/>
        </w:rPr>
      </w:pPr>
      <w:r>
        <w:rPr>
          <w:rFonts w:cs="Times New Roman"/>
          <w:b/>
          <w:bCs/>
          <w:i/>
          <w:szCs w:val="20"/>
        </w:rPr>
        <w:t>INSTITUTO FEDERAL DE SERGIPE</w:t>
      </w:r>
    </w:p>
    <w:p>
      <w:pPr>
        <w:jc w:val="center"/>
        <w:rPr>
          <w:rFonts w:cs="Times New Roman"/>
          <w:bCs/>
          <w:color w:val="000000"/>
          <w:szCs w:val="20"/>
        </w:rPr>
      </w:pPr>
      <w:r>
        <w:rPr>
          <w:rFonts w:cs="Times New Roman"/>
          <w:bCs/>
          <w:color w:val="000000"/>
          <w:szCs w:val="20"/>
        </w:rPr>
        <w:t xml:space="preserve">PREGÃO SRP Nº </w:t>
      </w:r>
      <w:r>
        <w:rPr>
          <w:rFonts w:cs="Times New Roman"/>
          <w:bCs/>
          <w:color w:val="000000"/>
          <w:szCs w:val="20"/>
          <w:lang w:val="pt-BR"/>
        </w:rPr>
        <w:t>01</w:t>
      </w:r>
      <w:r>
        <w:rPr>
          <w:rFonts w:cs="Times New Roman"/>
          <w:bCs/>
          <w:color w:val="000000"/>
          <w:szCs w:val="20"/>
        </w:rPr>
        <w:t>/20</w:t>
      </w:r>
      <w:r>
        <w:rPr>
          <w:rFonts w:cs="Times New Roman"/>
          <w:bCs/>
          <w:color w:val="000000"/>
          <w:szCs w:val="20"/>
          <w:lang w:val="pt-BR"/>
        </w:rPr>
        <w:t>19</w:t>
      </w:r>
      <w:r>
        <w:rPr>
          <w:rFonts w:cs="Times New Roman"/>
          <w:bCs/>
          <w:color w:val="000000"/>
          <w:szCs w:val="20"/>
        </w:rPr>
        <w:t>.</w:t>
      </w:r>
    </w:p>
    <w:p>
      <w:pPr>
        <w:jc w:val="center"/>
        <w:rPr>
          <w:rFonts w:cs="Times New Roman"/>
          <w:bCs/>
          <w:color w:val="000000"/>
          <w:szCs w:val="20"/>
        </w:rPr>
      </w:pPr>
      <w:r>
        <w:rPr>
          <w:rFonts w:cs="Times New Roman"/>
          <w:bCs/>
          <w:color w:val="000000"/>
          <w:szCs w:val="20"/>
        </w:rPr>
        <w:t>(Processo Administrativo n.°</w:t>
      </w:r>
      <w:r>
        <w:rPr>
          <w:rFonts w:cs="Times New Roman"/>
          <w:bCs/>
          <w:color w:val="000000"/>
          <w:szCs w:val="20"/>
          <w:lang w:val="pt-BR"/>
        </w:rPr>
        <w:t>23463.000503/2018-71</w:t>
      </w:r>
      <w:r>
        <w:rPr>
          <w:rFonts w:cs="Times New Roman"/>
          <w:bCs/>
          <w:color w:val="000000"/>
          <w:szCs w:val="20"/>
        </w:rPr>
        <w:t>)</w:t>
      </w:r>
    </w:p>
    <w:p>
      <w:pPr>
        <w:pStyle w:val="31"/>
      </w:pPr>
      <w:r>
        <w:t>DO OBJETO</w:t>
      </w:r>
    </w:p>
    <w:p>
      <w:pPr>
        <w:numPr>
          <w:ilvl w:val="1"/>
          <w:numId w:val="2"/>
        </w:numPr>
        <w:spacing w:before="120" w:after="120" w:line="276" w:lineRule="auto"/>
        <w:ind w:left="425" w:firstLine="0"/>
        <w:jc w:val="both"/>
        <w:rPr>
          <w:rFonts w:cs="Times New Roman"/>
          <w:i/>
          <w:color w:val="auto"/>
          <w:szCs w:val="20"/>
        </w:rPr>
      </w:pPr>
      <w:r>
        <w:rPr>
          <w:rFonts w:cs="Times New Roman"/>
          <w:i/>
          <w:color w:val="auto"/>
          <w:szCs w:val="20"/>
        </w:rPr>
        <w:t>Contratação de</w:t>
      </w:r>
      <w:r>
        <w:rPr>
          <w:rFonts w:cs="Times New Roman"/>
          <w:i/>
          <w:color w:val="auto"/>
          <w:szCs w:val="20"/>
          <w:lang w:val="pt-BR"/>
        </w:rPr>
        <w:t xml:space="preserve"> </w:t>
      </w:r>
      <w:r>
        <w:rPr>
          <w:rFonts w:cs="Times New Roman"/>
          <w:color w:val="auto"/>
          <w:szCs w:val="20"/>
        </w:rPr>
        <w:t>Contratação de Empresa Especializada em Serviços Terceirizados para prestação de serviços continuados de limpeza, conservação, higienização e asseio</w:t>
      </w:r>
      <w:r>
        <w:rPr>
          <w:rFonts w:cs="Times New Roman"/>
          <w:color w:val="auto"/>
          <w:szCs w:val="20"/>
          <w:lang w:val="pt-BR"/>
        </w:rPr>
        <w:t xml:space="preserve"> </w:t>
      </w:r>
      <w:r>
        <w:rPr>
          <w:rFonts w:cs="Times New Roman"/>
          <w:color w:val="auto"/>
          <w:szCs w:val="20"/>
        </w:rPr>
        <w:t>nas dependências do Instituto Federal de Sergipe</w:t>
      </w:r>
      <w:r>
        <w:rPr>
          <w:rFonts w:cs="Times New Roman"/>
          <w:i/>
          <w:color w:val="auto"/>
          <w:szCs w:val="20"/>
        </w:rPr>
        <w:t>, conforme condições, quantidades, exigências e estimativas, inclusive as encaminhadas pelos órgãos e entidades participantes, estabelecidas neste instrumento:</w:t>
      </w:r>
    </w:p>
    <w:p>
      <w:pPr>
        <w:numPr>
          <w:ilvl w:val="1"/>
          <w:numId w:val="2"/>
        </w:numPr>
        <w:spacing w:before="120" w:after="120" w:line="276" w:lineRule="auto"/>
        <w:ind w:left="425" w:firstLine="0"/>
        <w:jc w:val="both"/>
        <w:rPr>
          <w:rFonts w:cs="Times New Roman"/>
          <w:i/>
          <w:color w:val="auto"/>
          <w:szCs w:val="20"/>
          <w:u w:val="single"/>
        </w:rPr>
      </w:pPr>
      <w:r>
        <w:rPr>
          <w:rFonts w:cs="Times New Roman"/>
          <w:i/>
          <w:color w:val="auto"/>
          <w:szCs w:val="20"/>
          <w:u w:val="single"/>
        </w:rPr>
        <w:t>Estimativas de consumo individualizadas, do órgão gerenciador e órgãos e entidades participantes.</w:t>
      </w:r>
    </w:p>
    <w:tbl>
      <w:tblPr>
        <w:tblStyle w:val="15"/>
        <w:tblpPr w:leftFromText="180" w:rightFromText="180" w:vertAnchor="text" w:horzAnchor="page" w:tblpX="2337" w:tblpY="439"/>
        <w:tblOverlap w:val="never"/>
        <w:tblW w:w="79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8"/>
        <w:gridCol w:w="2978"/>
        <w:gridCol w:w="709"/>
        <w:gridCol w:w="851"/>
        <w:gridCol w:w="1417"/>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shd w:val="clear" w:color="auto" w:fill="A6A6A6"/>
            <w:vAlign w:val="center"/>
          </w:tcPr>
          <w:p>
            <w:pPr>
              <w:widowControl w:val="0"/>
              <w:suppressAutoHyphens/>
              <w:spacing w:after="120" w:line="276" w:lineRule="auto"/>
              <w:jc w:val="center"/>
              <w:rPr>
                <w:rFonts w:cs="Arial"/>
                <w:color w:val="000000"/>
                <w:sz w:val="18"/>
                <w:szCs w:val="18"/>
              </w:rPr>
            </w:pPr>
            <w:r>
              <w:rPr>
                <w:rFonts w:cs="Arial"/>
                <w:bCs/>
                <w:color w:val="000000"/>
                <w:sz w:val="18"/>
                <w:szCs w:val="18"/>
              </w:rPr>
              <w:t>ITEM</w:t>
            </w:r>
          </w:p>
        </w:tc>
        <w:tc>
          <w:tcPr>
            <w:tcW w:w="2978" w:type="dxa"/>
            <w:shd w:val="clear" w:color="auto" w:fill="A6A6A6"/>
            <w:vAlign w:val="center"/>
          </w:tcPr>
          <w:p>
            <w:pPr>
              <w:spacing w:after="120" w:line="276" w:lineRule="auto"/>
              <w:jc w:val="center"/>
              <w:rPr>
                <w:rFonts w:cs="Arial"/>
                <w:bCs/>
                <w:color w:val="000000"/>
                <w:sz w:val="18"/>
                <w:szCs w:val="18"/>
              </w:rPr>
            </w:pPr>
            <w:r>
              <w:rPr>
                <w:rFonts w:cs="Arial"/>
                <w:bCs/>
                <w:color w:val="000000"/>
                <w:sz w:val="18"/>
                <w:szCs w:val="18"/>
              </w:rPr>
              <w:t>DESCRIÇÃO/</w:t>
            </w:r>
          </w:p>
          <w:p>
            <w:pPr>
              <w:spacing w:after="120" w:line="276" w:lineRule="auto"/>
              <w:jc w:val="center"/>
              <w:rPr>
                <w:rFonts w:cs="Arial"/>
                <w:color w:val="000000"/>
                <w:sz w:val="18"/>
                <w:szCs w:val="18"/>
              </w:rPr>
            </w:pPr>
            <w:r>
              <w:rPr>
                <w:rFonts w:cs="Arial"/>
                <w:bCs/>
                <w:color w:val="000000"/>
                <w:sz w:val="18"/>
                <w:szCs w:val="18"/>
              </w:rPr>
              <w:t>ESPECIFICAÇÃO</w:t>
            </w:r>
          </w:p>
        </w:tc>
        <w:tc>
          <w:tcPr>
            <w:tcW w:w="709" w:type="dxa"/>
            <w:shd w:val="clear" w:color="auto" w:fill="A6A6A6"/>
            <w:vAlign w:val="center"/>
          </w:tcPr>
          <w:p>
            <w:pPr>
              <w:widowControl w:val="0"/>
              <w:suppressAutoHyphens/>
              <w:spacing w:after="120" w:line="276" w:lineRule="auto"/>
              <w:ind w:left="-106"/>
              <w:jc w:val="right"/>
              <w:rPr>
                <w:rFonts w:cs="Arial"/>
                <w:sz w:val="18"/>
                <w:szCs w:val="18"/>
              </w:rPr>
            </w:pPr>
            <w:r>
              <w:rPr>
                <w:rFonts w:cs="Arial"/>
                <w:sz w:val="18"/>
                <w:szCs w:val="18"/>
              </w:rPr>
              <w:t>UNID</w:t>
            </w:r>
          </w:p>
        </w:tc>
        <w:tc>
          <w:tcPr>
            <w:tcW w:w="851" w:type="dxa"/>
            <w:shd w:val="clear" w:color="auto" w:fill="A6A6A6"/>
            <w:vAlign w:val="center"/>
          </w:tcPr>
          <w:p>
            <w:pPr>
              <w:widowControl w:val="0"/>
              <w:suppressAutoHyphens/>
              <w:spacing w:after="120" w:line="276" w:lineRule="auto"/>
              <w:jc w:val="center"/>
              <w:rPr>
                <w:rFonts w:cs="Arial"/>
                <w:color w:val="000000"/>
                <w:sz w:val="18"/>
                <w:szCs w:val="18"/>
              </w:rPr>
            </w:pPr>
            <w:r>
              <w:rPr>
                <w:rFonts w:cs="Arial"/>
                <w:color w:val="000000"/>
                <w:sz w:val="18"/>
                <w:szCs w:val="18"/>
              </w:rPr>
              <w:t>QUANT</w:t>
            </w:r>
          </w:p>
        </w:tc>
        <w:tc>
          <w:tcPr>
            <w:tcW w:w="1417" w:type="dxa"/>
            <w:shd w:val="clear" w:color="auto" w:fill="A6A6A6"/>
            <w:vAlign w:val="center"/>
          </w:tcPr>
          <w:p>
            <w:pPr>
              <w:jc w:val="center"/>
              <w:rPr>
                <w:rFonts w:cs="Arial"/>
                <w:b/>
                <w:bCs/>
                <w:i/>
                <w:iCs/>
                <w:sz w:val="18"/>
                <w:szCs w:val="18"/>
              </w:rPr>
            </w:pPr>
            <w:r>
              <w:rPr>
                <w:rFonts w:cs="Arial"/>
                <w:b/>
                <w:bCs/>
                <w:i/>
                <w:iCs/>
                <w:sz w:val="18"/>
                <w:szCs w:val="18"/>
              </w:rPr>
              <w:t>VALOR UNIT</w:t>
            </w:r>
          </w:p>
          <w:p>
            <w:pPr>
              <w:jc w:val="center"/>
              <w:rPr>
                <w:rFonts w:cs="Arial"/>
                <w:b/>
                <w:bCs/>
                <w:i/>
                <w:iCs/>
                <w:sz w:val="18"/>
                <w:szCs w:val="18"/>
              </w:rPr>
            </w:pPr>
            <w:r>
              <w:rPr>
                <w:rFonts w:cs="Arial"/>
                <w:b/>
                <w:bCs/>
                <w:i/>
                <w:iCs/>
                <w:sz w:val="18"/>
                <w:szCs w:val="18"/>
              </w:rPr>
              <w:t>ANUAL (R$/m²)</w:t>
            </w:r>
          </w:p>
          <w:p>
            <w:pPr>
              <w:jc w:val="center"/>
              <w:rPr>
                <w:rFonts w:cs="Arial"/>
                <w:b/>
                <w:bCs/>
                <w:i/>
                <w:iCs/>
                <w:sz w:val="18"/>
                <w:szCs w:val="18"/>
              </w:rPr>
            </w:pPr>
          </w:p>
        </w:tc>
        <w:tc>
          <w:tcPr>
            <w:tcW w:w="1276" w:type="dxa"/>
            <w:shd w:val="clear" w:color="auto" w:fill="A6A6A6"/>
            <w:vAlign w:val="center"/>
          </w:tcPr>
          <w:p>
            <w:pPr>
              <w:jc w:val="center"/>
              <w:rPr>
                <w:rFonts w:cs="Arial"/>
                <w:b/>
                <w:bCs/>
                <w:i/>
                <w:iCs/>
                <w:sz w:val="18"/>
                <w:szCs w:val="18"/>
              </w:rPr>
            </w:pPr>
            <w:r>
              <w:rPr>
                <w:rFonts w:cs="Arial"/>
                <w:b/>
                <w:bCs/>
                <w:i/>
                <w:iCs/>
                <w:sz w:val="18"/>
                <w:szCs w:val="18"/>
              </w:rPr>
              <w:t>VALOR</w:t>
            </w:r>
          </w:p>
          <w:p>
            <w:pPr>
              <w:jc w:val="center"/>
              <w:rPr>
                <w:rFonts w:cs="Arial"/>
                <w:b/>
                <w:bCs/>
                <w:i/>
                <w:iCs/>
                <w:sz w:val="18"/>
                <w:szCs w:val="18"/>
              </w:rPr>
            </w:pPr>
            <w:r>
              <w:rPr>
                <w:rFonts w:cs="Arial"/>
                <w:b/>
                <w:bCs/>
                <w:i/>
                <w:iCs/>
                <w:sz w:val="18"/>
                <w:szCs w:val="18"/>
              </w:rPr>
              <w:t xml:space="preserve">ANUAL </w:t>
            </w:r>
          </w:p>
          <w:p>
            <w:pPr>
              <w:jc w:val="center"/>
              <w:rPr>
                <w:rFonts w:cs="Arial"/>
                <w:b/>
                <w:bCs/>
                <w:i/>
                <w:iCs/>
                <w:sz w:val="18"/>
                <w:szCs w:val="18"/>
              </w:rPr>
            </w:pPr>
            <w:r>
              <w:rPr>
                <w:rFonts w:cs="Arial"/>
                <w:b/>
                <w:bCs/>
                <w:i/>
                <w:iCs/>
                <w:sz w:val="18"/>
                <w:szCs w:val="18"/>
              </w:rPr>
              <w:t>(R$)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3"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01</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Áreas Internas - 44 Horas Semanais Diurnas</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rPr>
            </w:pPr>
            <w:r>
              <w:rPr>
                <w:rFonts w:cs="Arial"/>
                <w:bCs/>
                <w:sz w:val="18"/>
                <w:szCs w:val="18"/>
              </w:rPr>
              <w:t>5.791</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rPr>
              <w:t>40,82</w:t>
            </w:r>
          </w:p>
        </w:tc>
        <w:tc>
          <w:tcPr>
            <w:tcW w:w="1276" w:type="dxa"/>
            <w:vAlign w:val="center"/>
          </w:tcPr>
          <w:p>
            <w:pPr>
              <w:widowControl w:val="0"/>
              <w:suppressAutoHyphens/>
              <w:spacing w:after="120" w:line="276" w:lineRule="auto"/>
              <w:jc w:val="center"/>
              <w:rPr>
                <w:rFonts w:cs="Arial"/>
                <w:color w:val="000000"/>
                <w:sz w:val="18"/>
                <w:szCs w:val="18"/>
              </w:rPr>
            </w:pPr>
            <w:r>
              <w:rPr>
                <w:rFonts w:hint="default" w:cs="Arial"/>
                <w:color w:val="000000"/>
                <w:sz w:val="18"/>
                <w:szCs w:val="18"/>
              </w:rPr>
              <w:t>236</w:t>
            </w:r>
            <w:r>
              <w:rPr>
                <w:rFonts w:hint="default" w:cs="Arial"/>
                <w:color w:val="000000"/>
                <w:sz w:val="18"/>
                <w:szCs w:val="18"/>
                <w:lang w:val="pt-BR"/>
              </w:rPr>
              <w:t>.</w:t>
            </w:r>
            <w:r>
              <w:rPr>
                <w:rFonts w:hint="default" w:cs="Arial"/>
                <w:color w:val="000000"/>
                <w:sz w:val="18"/>
                <w:szCs w:val="18"/>
              </w:rPr>
              <w:t>388,62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6"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02</w:t>
            </w:r>
          </w:p>
        </w:tc>
        <w:tc>
          <w:tcPr>
            <w:tcW w:w="2978" w:type="dxa"/>
            <w:vAlign w:val="center"/>
          </w:tcPr>
          <w:p>
            <w:pPr>
              <w:autoSpaceDE w:val="0"/>
              <w:autoSpaceDN w:val="0"/>
              <w:adjustRightInd w:val="0"/>
              <w:jc w:val="center"/>
              <w:rPr>
                <w:rFonts w:cs="Arial"/>
                <w:snapToGrid w:val="0"/>
                <w:sz w:val="18"/>
                <w:szCs w:val="18"/>
              </w:rPr>
            </w:pPr>
            <w:r>
              <w:rPr>
                <w:rFonts w:cs="Arial"/>
                <w:snapToGrid w:val="0"/>
                <w:sz w:val="18"/>
                <w:szCs w:val="18"/>
              </w:rPr>
              <w:t>Prestação de Serviço de Limpeza e Conservação - Áreas Externas - 44 Horas Semanais Diurnas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rPr>
            </w:pPr>
            <w:r>
              <w:rPr>
                <w:rFonts w:cs="Arial"/>
                <w:bCs/>
                <w:sz w:val="18"/>
                <w:szCs w:val="18"/>
              </w:rPr>
              <w:t>12.601</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rPr>
              <w:t>1,12</w:t>
            </w:r>
          </w:p>
        </w:tc>
        <w:tc>
          <w:tcPr>
            <w:tcW w:w="1276" w:type="dxa"/>
            <w:vAlign w:val="center"/>
          </w:tcPr>
          <w:p>
            <w:pPr>
              <w:widowControl w:val="0"/>
              <w:suppressAutoHyphens/>
              <w:spacing w:after="120" w:line="276" w:lineRule="auto"/>
              <w:jc w:val="center"/>
              <w:rPr>
                <w:rFonts w:cs="Arial"/>
                <w:color w:val="000000"/>
                <w:sz w:val="18"/>
                <w:szCs w:val="18"/>
              </w:rPr>
            </w:pPr>
            <w:r>
              <w:rPr>
                <w:rFonts w:hint="default" w:cs="Arial"/>
                <w:color w:val="000000"/>
                <w:sz w:val="18"/>
                <w:szCs w:val="18"/>
              </w:rPr>
              <w:t>14</w:t>
            </w:r>
            <w:r>
              <w:rPr>
                <w:rFonts w:hint="default" w:cs="Arial"/>
                <w:color w:val="000000"/>
                <w:sz w:val="18"/>
                <w:szCs w:val="18"/>
                <w:lang w:val="pt-BR"/>
              </w:rPr>
              <w:t>.</w:t>
            </w:r>
            <w:r>
              <w:rPr>
                <w:rFonts w:hint="default" w:cs="Arial"/>
                <w:color w:val="000000"/>
                <w:sz w:val="18"/>
                <w:szCs w:val="18"/>
              </w:rPr>
              <w:t>113,12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4"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03</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Esquadrias Externas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rPr>
            </w:pPr>
            <w:r>
              <w:rPr>
                <w:rFonts w:cs="Arial"/>
                <w:bCs/>
                <w:sz w:val="18"/>
                <w:szCs w:val="18"/>
              </w:rPr>
              <w:t>1.002</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rPr>
              <w:t>4,83</w:t>
            </w:r>
          </w:p>
        </w:tc>
        <w:tc>
          <w:tcPr>
            <w:tcW w:w="1276" w:type="dxa"/>
            <w:vAlign w:val="center"/>
          </w:tcPr>
          <w:p>
            <w:pPr>
              <w:widowControl w:val="0"/>
              <w:suppressAutoHyphens/>
              <w:spacing w:after="120" w:line="276" w:lineRule="auto"/>
              <w:jc w:val="center"/>
              <w:rPr>
                <w:rFonts w:cs="Arial"/>
                <w:color w:val="000000"/>
                <w:sz w:val="18"/>
                <w:szCs w:val="18"/>
              </w:rPr>
            </w:pPr>
            <w:r>
              <w:rPr>
                <w:rFonts w:hint="default" w:cs="Arial"/>
                <w:color w:val="000000"/>
                <w:sz w:val="18"/>
                <w:szCs w:val="18"/>
              </w:rPr>
              <w:t>4</w:t>
            </w:r>
            <w:r>
              <w:rPr>
                <w:rFonts w:hint="default" w:cs="Arial"/>
                <w:color w:val="000000"/>
                <w:sz w:val="18"/>
                <w:szCs w:val="18"/>
                <w:lang w:val="pt-BR"/>
              </w:rPr>
              <w:t>.</w:t>
            </w:r>
            <w:r>
              <w:rPr>
                <w:rFonts w:hint="default" w:cs="Arial"/>
                <w:color w:val="000000"/>
                <w:sz w:val="18"/>
                <w:szCs w:val="18"/>
              </w:rPr>
              <w:t>839,66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96"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04</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 xml:space="preserve">Material para o serviço de limpeza </w:t>
            </w:r>
            <w:r>
              <w:rPr>
                <w:rFonts w:cs="Arial"/>
                <w:sz w:val="18"/>
                <w:szCs w:val="18"/>
              </w:rPr>
              <w:t>(Anexo II)</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Forn.</w:t>
            </w:r>
          </w:p>
        </w:tc>
        <w:tc>
          <w:tcPr>
            <w:tcW w:w="851" w:type="dxa"/>
            <w:vAlign w:val="center"/>
          </w:tcPr>
          <w:p>
            <w:pPr>
              <w:widowControl w:val="0"/>
              <w:suppressAutoHyphens/>
              <w:spacing w:after="120" w:line="276" w:lineRule="auto"/>
              <w:jc w:val="center"/>
              <w:rPr>
                <w:rFonts w:cs="Arial"/>
                <w:bCs/>
                <w:sz w:val="18"/>
                <w:szCs w:val="18"/>
              </w:rPr>
            </w:pPr>
            <w:r>
              <w:rPr>
                <w:rFonts w:cs="Arial"/>
                <w:bCs/>
                <w:sz w:val="18"/>
                <w:szCs w:val="18"/>
              </w:rPr>
              <w:t>1</w:t>
            </w:r>
          </w:p>
        </w:tc>
        <w:tc>
          <w:tcPr>
            <w:tcW w:w="1417" w:type="dxa"/>
            <w:vAlign w:val="bottom"/>
          </w:tcPr>
          <w:p>
            <w:pPr>
              <w:widowControl w:val="0"/>
              <w:suppressAutoHyphens/>
              <w:spacing w:after="120" w:line="276" w:lineRule="auto"/>
              <w:jc w:val="center"/>
              <w:rPr>
                <w:rFonts w:hint="default" w:cs="Arial"/>
                <w:color w:val="000000"/>
                <w:sz w:val="18"/>
                <w:szCs w:val="18"/>
              </w:rPr>
            </w:pPr>
            <w:r>
              <w:rPr>
                <w:rFonts w:hint="default" w:cs="Arial"/>
                <w:color w:val="000000"/>
                <w:sz w:val="18"/>
                <w:szCs w:val="18"/>
              </w:rPr>
              <w:t>51.376,83</w:t>
            </w:r>
          </w:p>
        </w:tc>
        <w:tc>
          <w:tcPr>
            <w:tcW w:w="1276" w:type="dxa"/>
            <w:vAlign w:val="bottom"/>
          </w:tcPr>
          <w:p>
            <w:pPr>
              <w:widowControl w:val="0"/>
              <w:suppressAutoHyphens/>
              <w:spacing w:after="120" w:line="276" w:lineRule="auto"/>
              <w:jc w:val="center"/>
              <w:rPr>
                <w:rFonts w:ascii="Calibri" w:hAnsi="Calibri"/>
                <w:bCs/>
                <w:color w:val="000000"/>
                <w:sz w:val="22"/>
                <w:szCs w:val="22"/>
              </w:rPr>
            </w:pPr>
            <w:r>
              <w:rPr>
                <w:rFonts w:hint="default" w:cs="Arial"/>
                <w:color w:val="000000"/>
                <w:sz w:val="18"/>
                <w:szCs w:val="18"/>
              </w:rPr>
              <w:t>51.376,83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9" w:hRule="atLeast"/>
        </w:trPr>
        <w:tc>
          <w:tcPr>
            <w:tcW w:w="6663" w:type="dxa"/>
            <w:gridSpan w:val="5"/>
            <w:shd w:val="clear" w:color="auto" w:fill="A4A4A4" w:themeFill="background1" w:themeFillShade="A5"/>
            <w:vAlign w:val="center"/>
          </w:tcPr>
          <w:p>
            <w:pPr>
              <w:widowControl w:val="0"/>
              <w:suppressAutoHyphens/>
              <w:spacing w:after="120" w:line="276" w:lineRule="auto"/>
              <w:jc w:val="center"/>
              <w:rPr>
                <w:rFonts w:hint="default" w:cs="Arial"/>
                <w:color w:val="000000"/>
                <w:sz w:val="18"/>
                <w:szCs w:val="18"/>
                <w:highlight w:val="darkGray"/>
                <w:shd w:val="clear" w:color="auto" w:fill="auto"/>
              </w:rPr>
            </w:pPr>
            <w:r>
              <w:rPr>
                <w:rFonts w:cs="Arial"/>
                <w:color w:val="000000"/>
                <w:sz w:val="18"/>
                <w:szCs w:val="18"/>
                <w:highlight w:val="none"/>
                <w:shd w:val="clear" w:color="auto" w:fill="auto"/>
              </w:rPr>
              <w:t>Total</w:t>
            </w:r>
          </w:p>
        </w:tc>
        <w:tc>
          <w:tcPr>
            <w:tcW w:w="1276" w:type="dxa"/>
            <w:shd w:val="clear" w:color="auto" w:fill="A4A4A4" w:themeFill="background1" w:themeFillShade="A5"/>
            <w:vAlign w:val="center"/>
          </w:tcPr>
          <w:p>
            <w:pPr>
              <w:widowControl w:val="0"/>
              <w:suppressAutoHyphens/>
              <w:spacing w:after="120" w:line="276" w:lineRule="auto"/>
              <w:jc w:val="center"/>
              <w:rPr>
                <w:rFonts w:hint="default" w:ascii="Calibri" w:hAnsi="Calibri" w:eastAsia="SimSun" w:cs="Calibri"/>
                <w:i w:val="0"/>
                <w:color w:val="000000"/>
                <w:kern w:val="0"/>
                <w:sz w:val="22"/>
                <w:szCs w:val="22"/>
                <w:highlight w:val="darkGray"/>
                <w:u w:val="none"/>
                <w:shd w:val="clear" w:color="auto" w:fill="auto"/>
                <w:lang w:val="en-US" w:eastAsia="zh-CN" w:bidi="ar"/>
              </w:rPr>
            </w:pPr>
            <w:r>
              <w:rPr>
                <w:rFonts w:hint="default" w:ascii="Calibri" w:hAnsi="Calibri" w:eastAsia="SimSun" w:cs="Calibri"/>
                <w:i w:val="0"/>
                <w:color w:val="000000"/>
                <w:kern w:val="0"/>
                <w:sz w:val="22"/>
                <w:szCs w:val="22"/>
                <w:highlight w:val="none"/>
                <w:u w:val="none"/>
                <w:shd w:val="clear" w:color="auto" w:fill="auto"/>
                <w:lang w:val="en-US" w:eastAsia="zh-CN" w:bidi="ar"/>
              </w:rPr>
              <w:t>306</w:t>
            </w:r>
            <w:r>
              <w:rPr>
                <w:rFonts w:hint="default" w:ascii="Calibri" w:hAnsi="Calibri" w:eastAsia="SimSun" w:cs="Calibri"/>
                <w:i w:val="0"/>
                <w:color w:val="000000"/>
                <w:kern w:val="0"/>
                <w:sz w:val="22"/>
                <w:szCs w:val="22"/>
                <w:highlight w:val="none"/>
                <w:u w:val="none"/>
                <w:shd w:val="clear" w:color="auto" w:fill="auto"/>
                <w:lang w:val="pt-BR" w:eastAsia="zh-CN" w:bidi="ar"/>
              </w:rPr>
              <w:t>.</w:t>
            </w:r>
            <w:r>
              <w:rPr>
                <w:rFonts w:hint="default" w:ascii="Calibri" w:hAnsi="Calibri" w:eastAsia="SimSun" w:cs="Calibri"/>
                <w:i w:val="0"/>
                <w:color w:val="000000"/>
                <w:kern w:val="0"/>
                <w:sz w:val="22"/>
                <w:szCs w:val="22"/>
                <w:highlight w:val="none"/>
                <w:u w:val="none"/>
                <w:shd w:val="clear" w:color="auto" w:fill="auto"/>
                <w:lang w:val="en-US" w:eastAsia="zh-CN" w:bidi="ar"/>
              </w:rPr>
              <w:t>718,23</w:t>
            </w:r>
          </w:p>
        </w:tc>
      </w:tr>
    </w:tbl>
    <w:p>
      <w:pPr>
        <w:ind w:firstLine="500" w:firstLineChars="250"/>
        <w:jc w:val="center"/>
        <w:rPr>
          <w:b/>
          <w:bCs/>
          <w:lang w:val="pt-BR"/>
        </w:rPr>
      </w:pPr>
      <w:r>
        <w:rPr>
          <w:b/>
          <w:bCs/>
          <w:lang w:val="pt-BR"/>
        </w:rPr>
        <w:t>Grupo 1 - IFS/Campus Estância</w:t>
      </w:r>
    </w:p>
    <w:p>
      <w:pPr>
        <w:pStyle w:val="31"/>
        <w:numPr>
          <w:ilvl w:val="0"/>
          <w:numId w:val="0"/>
        </w:numPr>
        <w:ind w:leftChars="0"/>
      </w:pPr>
    </w:p>
    <w:p>
      <w:pPr>
        <w:pStyle w:val="31"/>
        <w:numPr>
          <w:ilvl w:val="0"/>
          <w:numId w:val="0"/>
        </w:numPr>
        <w:ind w:leftChars="0"/>
      </w:pPr>
    </w:p>
    <w:p>
      <w:pPr>
        <w:pStyle w:val="31"/>
        <w:keepNext/>
        <w:keepLines/>
        <w:numPr>
          <w:ilvl w:val="0"/>
          <w:numId w:val="0"/>
        </w:numPr>
        <w:spacing w:before="480" w:after="120" w:line="276" w:lineRule="auto"/>
        <w:jc w:val="both"/>
        <w:outlineLvl w:val="0"/>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ind w:firstLine="500" w:firstLineChars="250"/>
        <w:jc w:val="center"/>
        <w:rPr>
          <w:b/>
          <w:bCs/>
          <w:lang w:val="pt-BR"/>
        </w:rPr>
      </w:pPr>
      <w:r>
        <w:rPr>
          <w:b/>
          <w:bCs/>
          <w:lang w:val="pt-BR"/>
        </w:rPr>
        <w:t>Grupo 2 -  IFS/Campus Propria</w:t>
      </w:r>
    </w:p>
    <w:tbl>
      <w:tblPr>
        <w:tblStyle w:val="15"/>
        <w:tblpPr w:leftFromText="180" w:rightFromText="180" w:vertAnchor="text" w:horzAnchor="page" w:tblpX="2337" w:tblpY="439"/>
        <w:tblOverlap w:val="never"/>
        <w:tblW w:w="79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8"/>
        <w:gridCol w:w="2978"/>
        <w:gridCol w:w="709"/>
        <w:gridCol w:w="851"/>
        <w:gridCol w:w="1417"/>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shd w:val="clear" w:color="auto" w:fill="A6A6A6"/>
            <w:vAlign w:val="center"/>
          </w:tcPr>
          <w:p>
            <w:pPr>
              <w:widowControl w:val="0"/>
              <w:suppressAutoHyphens/>
              <w:spacing w:after="120" w:line="276" w:lineRule="auto"/>
              <w:jc w:val="center"/>
              <w:rPr>
                <w:rFonts w:cs="Arial"/>
                <w:color w:val="000000"/>
                <w:sz w:val="18"/>
                <w:szCs w:val="18"/>
              </w:rPr>
            </w:pPr>
            <w:r>
              <w:rPr>
                <w:rFonts w:cs="Arial"/>
                <w:bCs/>
                <w:color w:val="000000"/>
                <w:sz w:val="18"/>
                <w:szCs w:val="18"/>
              </w:rPr>
              <w:t>ITEM</w:t>
            </w:r>
          </w:p>
        </w:tc>
        <w:tc>
          <w:tcPr>
            <w:tcW w:w="2978" w:type="dxa"/>
            <w:shd w:val="clear" w:color="auto" w:fill="A6A6A6"/>
            <w:vAlign w:val="center"/>
          </w:tcPr>
          <w:p>
            <w:pPr>
              <w:spacing w:after="120" w:line="276" w:lineRule="auto"/>
              <w:jc w:val="center"/>
              <w:rPr>
                <w:rFonts w:cs="Arial"/>
                <w:bCs/>
                <w:color w:val="000000"/>
                <w:sz w:val="18"/>
                <w:szCs w:val="18"/>
              </w:rPr>
            </w:pPr>
            <w:r>
              <w:rPr>
                <w:rFonts w:cs="Arial"/>
                <w:bCs/>
                <w:color w:val="000000"/>
                <w:sz w:val="18"/>
                <w:szCs w:val="18"/>
              </w:rPr>
              <w:t>DESCRIÇÃO/</w:t>
            </w:r>
          </w:p>
          <w:p>
            <w:pPr>
              <w:spacing w:after="120" w:line="276" w:lineRule="auto"/>
              <w:jc w:val="center"/>
              <w:rPr>
                <w:rFonts w:cs="Arial"/>
                <w:color w:val="000000"/>
                <w:sz w:val="18"/>
                <w:szCs w:val="18"/>
              </w:rPr>
            </w:pPr>
            <w:r>
              <w:rPr>
                <w:rFonts w:cs="Arial"/>
                <w:bCs/>
                <w:color w:val="000000"/>
                <w:sz w:val="18"/>
                <w:szCs w:val="18"/>
              </w:rPr>
              <w:t>ESPECIFICAÇÃO</w:t>
            </w:r>
          </w:p>
        </w:tc>
        <w:tc>
          <w:tcPr>
            <w:tcW w:w="709" w:type="dxa"/>
            <w:shd w:val="clear" w:color="auto" w:fill="A6A6A6"/>
            <w:vAlign w:val="center"/>
          </w:tcPr>
          <w:p>
            <w:pPr>
              <w:widowControl w:val="0"/>
              <w:suppressAutoHyphens/>
              <w:spacing w:after="120" w:line="276" w:lineRule="auto"/>
              <w:ind w:left="-106"/>
              <w:jc w:val="right"/>
              <w:rPr>
                <w:rFonts w:cs="Arial"/>
                <w:sz w:val="18"/>
                <w:szCs w:val="18"/>
              </w:rPr>
            </w:pPr>
            <w:r>
              <w:rPr>
                <w:rFonts w:cs="Arial"/>
                <w:sz w:val="18"/>
                <w:szCs w:val="18"/>
              </w:rPr>
              <w:t>UNID</w:t>
            </w:r>
          </w:p>
        </w:tc>
        <w:tc>
          <w:tcPr>
            <w:tcW w:w="851" w:type="dxa"/>
            <w:shd w:val="clear" w:color="auto" w:fill="A6A6A6"/>
            <w:vAlign w:val="center"/>
          </w:tcPr>
          <w:p>
            <w:pPr>
              <w:widowControl w:val="0"/>
              <w:suppressAutoHyphens/>
              <w:spacing w:after="120" w:line="276" w:lineRule="auto"/>
              <w:jc w:val="center"/>
              <w:rPr>
                <w:rFonts w:cs="Arial"/>
                <w:color w:val="000000"/>
                <w:sz w:val="18"/>
                <w:szCs w:val="18"/>
              </w:rPr>
            </w:pPr>
            <w:r>
              <w:rPr>
                <w:rFonts w:cs="Arial"/>
                <w:color w:val="000000"/>
                <w:sz w:val="18"/>
                <w:szCs w:val="18"/>
              </w:rPr>
              <w:t>QUANT</w:t>
            </w:r>
          </w:p>
        </w:tc>
        <w:tc>
          <w:tcPr>
            <w:tcW w:w="1417" w:type="dxa"/>
            <w:shd w:val="clear" w:color="auto" w:fill="A6A6A6"/>
            <w:vAlign w:val="center"/>
          </w:tcPr>
          <w:p>
            <w:pPr>
              <w:jc w:val="center"/>
              <w:rPr>
                <w:rFonts w:cs="Arial"/>
                <w:b/>
                <w:bCs/>
                <w:i/>
                <w:iCs/>
                <w:sz w:val="18"/>
                <w:szCs w:val="18"/>
              </w:rPr>
            </w:pPr>
            <w:r>
              <w:rPr>
                <w:rFonts w:cs="Arial"/>
                <w:b/>
                <w:bCs/>
                <w:i/>
                <w:iCs/>
                <w:sz w:val="18"/>
                <w:szCs w:val="18"/>
              </w:rPr>
              <w:t>VALOR UNIT</w:t>
            </w:r>
          </w:p>
          <w:p>
            <w:pPr>
              <w:jc w:val="center"/>
              <w:rPr>
                <w:rFonts w:cs="Arial"/>
                <w:b/>
                <w:bCs/>
                <w:i/>
                <w:iCs/>
                <w:sz w:val="18"/>
                <w:szCs w:val="18"/>
              </w:rPr>
            </w:pPr>
            <w:r>
              <w:rPr>
                <w:rFonts w:cs="Arial"/>
                <w:b/>
                <w:bCs/>
                <w:i/>
                <w:iCs/>
                <w:sz w:val="18"/>
                <w:szCs w:val="18"/>
              </w:rPr>
              <w:t>ANUAL (R$/m²)</w:t>
            </w:r>
          </w:p>
          <w:p>
            <w:pPr>
              <w:jc w:val="center"/>
              <w:rPr>
                <w:rFonts w:cs="Arial"/>
                <w:b/>
                <w:bCs/>
                <w:i/>
                <w:iCs/>
                <w:sz w:val="18"/>
                <w:szCs w:val="18"/>
              </w:rPr>
            </w:pPr>
          </w:p>
        </w:tc>
        <w:tc>
          <w:tcPr>
            <w:tcW w:w="1276" w:type="dxa"/>
            <w:shd w:val="clear" w:color="auto" w:fill="A6A6A6"/>
            <w:vAlign w:val="center"/>
          </w:tcPr>
          <w:p>
            <w:pPr>
              <w:jc w:val="center"/>
              <w:rPr>
                <w:rFonts w:cs="Arial"/>
                <w:b/>
                <w:bCs/>
                <w:i/>
                <w:iCs/>
                <w:sz w:val="18"/>
                <w:szCs w:val="18"/>
              </w:rPr>
            </w:pPr>
            <w:r>
              <w:rPr>
                <w:rFonts w:cs="Arial"/>
                <w:b/>
                <w:bCs/>
                <w:i/>
                <w:iCs/>
                <w:sz w:val="18"/>
                <w:szCs w:val="18"/>
              </w:rPr>
              <w:t>VALOR</w:t>
            </w:r>
          </w:p>
          <w:p>
            <w:pPr>
              <w:jc w:val="center"/>
              <w:rPr>
                <w:rFonts w:cs="Arial"/>
                <w:b/>
                <w:bCs/>
                <w:i/>
                <w:iCs/>
                <w:sz w:val="18"/>
                <w:szCs w:val="18"/>
              </w:rPr>
            </w:pPr>
            <w:r>
              <w:rPr>
                <w:rFonts w:cs="Arial"/>
                <w:b/>
                <w:bCs/>
                <w:i/>
                <w:iCs/>
                <w:sz w:val="18"/>
                <w:szCs w:val="18"/>
              </w:rPr>
              <w:t xml:space="preserve">ANUAL </w:t>
            </w:r>
          </w:p>
          <w:p>
            <w:pPr>
              <w:jc w:val="center"/>
              <w:rPr>
                <w:rFonts w:cs="Arial"/>
                <w:b/>
                <w:bCs/>
                <w:i/>
                <w:iCs/>
                <w:sz w:val="18"/>
                <w:szCs w:val="18"/>
              </w:rPr>
            </w:pPr>
            <w:r>
              <w:rPr>
                <w:rFonts w:cs="Arial"/>
                <w:b/>
                <w:bCs/>
                <w:i/>
                <w:iCs/>
                <w:sz w:val="18"/>
                <w:szCs w:val="18"/>
              </w:rPr>
              <w:t>(R$)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3"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05</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Áreas Internas - 44 Horas Semanais Diurnas</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1.173</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49,05</w:t>
            </w:r>
          </w:p>
        </w:tc>
        <w:tc>
          <w:tcPr>
            <w:tcW w:w="1276"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57.535,65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6"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06</w:t>
            </w:r>
          </w:p>
        </w:tc>
        <w:tc>
          <w:tcPr>
            <w:tcW w:w="2978" w:type="dxa"/>
            <w:vAlign w:val="center"/>
          </w:tcPr>
          <w:p>
            <w:pPr>
              <w:autoSpaceDE w:val="0"/>
              <w:autoSpaceDN w:val="0"/>
              <w:adjustRightInd w:val="0"/>
              <w:jc w:val="center"/>
              <w:rPr>
                <w:rFonts w:cs="Arial"/>
                <w:snapToGrid w:val="0"/>
                <w:sz w:val="18"/>
                <w:szCs w:val="18"/>
              </w:rPr>
            </w:pPr>
            <w:r>
              <w:rPr>
                <w:rFonts w:cs="Arial"/>
                <w:snapToGrid w:val="0"/>
                <w:sz w:val="18"/>
                <w:szCs w:val="18"/>
              </w:rPr>
              <w:t>Prestação de Serviço de Limpeza e Conservação - Áreas Externas - 44 Horas Semanais Diurnas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205</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7,62</w:t>
            </w:r>
          </w:p>
        </w:tc>
        <w:tc>
          <w:tcPr>
            <w:tcW w:w="1276"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1.562,10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07</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Esquadrias Externas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293</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11,74</w:t>
            </w:r>
          </w:p>
        </w:tc>
        <w:tc>
          <w:tcPr>
            <w:tcW w:w="1276"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3.439,82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08</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 xml:space="preserve">Material para o serviço de limpeza </w:t>
            </w:r>
            <w:r>
              <w:rPr>
                <w:rFonts w:cs="Arial"/>
                <w:sz w:val="18"/>
                <w:szCs w:val="18"/>
              </w:rPr>
              <w:t>(Anexo II)</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Forn.</w:t>
            </w:r>
          </w:p>
        </w:tc>
        <w:tc>
          <w:tcPr>
            <w:tcW w:w="851" w:type="dxa"/>
            <w:vAlign w:val="center"/>
          </w:tcPr>
          <w:p>
            <w:pPr>
              <w:widowControl w:val="0"/>
              <w:suppressAutoHyphens/>
              <w:spacing w:after="120" w:line="276" w:lineRule="auto"/>
              <w:jc w:val="center"/>
              <w:rPr>
                <w:rFonts w:cs="Arial"/>
                <w:bCs/>
                <w:sz w:val="18"/>
                <w:szCs w:val="18"/>
                <w:lang w:val="pt-BR"/>
              </w:rPr>
            </w:pPr>
            <w:r>
              <w:rPr>
                <w:rFonts w:cs="Arial"/>
                <w:bCs/>
                <w:sz w:val="18"/>
                <w:szCs w:val="18"/>
                <w:lang w:val="pt-BR"/>
              </w:rPr>
              <w:t>1</w:t>
            </w:r>
          </w:p>
        </w:tc>
        <w:tc>
          <w:tcPr>
            <w:tcW w:w="1417" w:type="dxa"/>
            <w:vAlign w:val="bottom"/>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17.015,26</w:t>
            </w:r>
          </w:p>
        </w:tc>
        <w:tc>
          <w:tcPr>
            <w:tcW w:w="1276" w:type="dxa"/>
            <w:vAlign w:val="bottom"/>
          </w:tcPr>
          <w:p>
            <w:pPr>
              <w:widowControl w:val="0"/>
              <w:suppressAutoHyphens/>
              <w:spacing w:after="120" w:line="276" w:lineRule="auto"/>
              <w:jc w:val="center"/>
              <w:rPr>
                <w:rFonts w:ascii="Calibri" w:hAnsi="Calibri"/>
                <w:bCs/>
                <w:color w:val="000000"/>
                <w:sz w:val="22"/>
                <w:szCs w:val="22"/>
                <w:lang w:val="pt-BR"/>
              </w:rPr>
            </w:pPr>
            <w:r>
              <w:rPr>
                <w:rFonts w:hint="default" w:cs="Arial"/>
                <w:color w:val="000000"/>
                <w:sz w:val="18"/>
                <w:szCs w:val="18"/>
                <w:lang w:val="pt-BR"/>
              </w:rPr>
              <w:t>17.015,26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trPr>
        <w:tc>
          <w:tcPr>
            <w:tcW w:w="6663" w:type="dxa"/>
            <w:gridSpan w:val="5"/>
            <w:shd w:val="clear" w:color="auto" w:fill="A4A4A4" w:themeFill="background1" w:themeFillShade="A5"/>
            <w:vAlign w:val="center"/>
          </w:tcPr>
          <w:p>
            <w:pPr>
              <w:widowControl w:val="0"/>
              <w:suppressAutoHyphens/>
              <w:spacing w:after="120" w:line="276" w:lineRule="auto"/>
              <w:jc w:val="center"/>
              <w:rPr>
                <w:rFonts w:hint="default" w:cs="Arial"/>
                <w:color w:val="000000"/>
                <w:sz w:val="18"/>
                <w:szCs w:val="18"/>
                <w:highlight w:val="darkGray"/>
                <w:shd w:val="clear" w:color="auto" w:fill="auto"/>
              </w:rPr>
            </w:pPr>
            <w:r>
              <w:rPr>
                <w:rFonts w:cs="Arial"/>
                <w:color w:val="000000"/>
                <w:sz w:val="18"/>
                <w:szCs w:val="18"/>
                <w:highlight w:val="none"/>
                <w:shd w:val="clear" w:color="auto" w:fill="auto"/>
              </w:rPr>
              <w:t>Total</w:t>
            </w:r>
          </w:p>
        </w:tc>
        <w:tc>
          <w:tcPr>
            <w:tcW w:w="1276" w:type="dxa"/>
            <w:shd w:val="clear" w:color="auto" w:fill="A4A4A4" w:themeFill="background1" w:themeFillShade="A5"/>
            <w:vAlign w:val="bottom"/>
          </w:tcPr>
          <w:p>
            <w:pPr>
              <w:widowControl w:val="0"/>
              <w:suppressAutoHyphens/>
              <w:spacing w:after="120" w:line="276" w:lineRule="auto"/>
              <w:jc w:val="center"/>
              <w:rPr>
                <w:rFonts w:hint="default" w:cs="Arial"/>
                <w:color w:val="000000"/>
                <w:sz w:val="18"/>
                <w:szCs w:val="18"/>
                <w:highlight w:val="none"/>
                <w:shd w:val="clear" w:color="auto" w:fill="auto"/>
                <w:lang w:val="en-US" w:eastAsia="zh-CN"/>
              </w:rPr>
            </w:pPr>
            <w:r>
              <w:rPr>
                <w:rFonts w:hint="default" w:cs="Arial"/>
                <w:color w:val="000000"/>
                <w:sz w:val="18"/>
                <w:szCs w:val="18"/>
                <w:highlight w:val="none"/>
                <w:shd w:val="clear" w:color="auto" w:fill="auto"/>
                <w:lang w:val="en-US" w:eastAsia="zh-CN"/>
              </w:rPr>
              <w:t>79</w:t>
            </w:r>
            <w:r>
              <w:rPr>
                <w:rFonts w:hint="default" w:cs="Arial"/>
                <w:color w:val="000000"/>
                <w:sz w:val="18"/>
                <w:szCs w:val="18"/>
                <w:highlight w:val="none"/>
                <w:shd w:val="clear" w:color="auto" w:fill="auto"/>
                <w:lang w:val="pt-BR" w:eastAsia="zh-CN"/>
              </w:rPr>
              <w:t>.</w:t>
            </w:r>
            <w:r>
              <w:rPr>
                <w:rFonts w:hint="default" w:cs="Arial"/>
                <w:color w:val="000000"/>
                <w:sz w:val="18"/>
                <w:szCs w:val="18"/>
                <w:highlight w:val="none"/>
                <w:shd w:val="clear" w:color="auto" w:fill="auto"/>
                <w:lang w:val="en-US" w:eastAsia="zh-CN"/>
              </w:rPr>
              <w:t>552,83</w:t>
            </w:r>
          </w:p>
        </w:tc>
      </w:tr>
    </w:tbl>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r>
        <w:rPr>
          <w:b/>
          <w:bCs/>
          <w:lang w:val="pt-BR"/>
        </w:rPr>
        <w:t>Grupo 3 -  IFS/Campus São Cristóvão</w:t>
      </w:r>
    </w:p>
    <w:tbl>
      <w:tblPr>
        <w:tblStyle w:val="15"/>
        <w:tblpPr w:leftFromText="180" w:rightFromText="180" w:vertAnchor="text" w:horzAnchor="page" w:tblpX="2337" w:tblpY="439"/>
        <w:tblOverlap w:val="never"/>
        <w:tblW w:w="79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8"/>
        <w:gridCol w:w="2978"/>
        <w:gridCol w:w="709"/>
        <w:gridCol w:w="851"/>
        <w:gridCol w:w="1417"/>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shd w:val="clear" w:color="auto" w:fill="A6A6A6"/>
            <w:vAlign w:val="center"/>
          </w:tcPr>
          <w:p>
            <w:pPr>
              <w:widowControl w:val="0"/>
              <w:suppressAutoHyphens/>
              <w:spacing w:after="120" w:line="276" w:lineRule="auto"/>
              <w:jc w:val="center"/>
              <w:rPr>
                <w:rFonts w:cs="Arial"/>
                <w:color w:val="000000"/>
                <w:sz w:val="18"/>
                <w:szCs w:val="18"/>
              </w:rPr>
            </w:pPr>
            <w:r>
              <w:rPr>
                <w:rFonts w:cs="Arial"/>
                <w:bCs/>
                <w:color w:val="000000"/>
                <w:sz w:val="18"/>
                <w:szCs w:val="18"/>
              </w:rPr>
              <w:t>ITEM</w:t>
            </w:r>
          </w:p>
        </w:tc>
        <w:tc>
          <w:tcPr>
            <w:tcW w:w="2978" w:type="dxa"/>
            <w:shd w:val="clear" w:color="auto" w:fill="A6A6A6"/>
            <w:vAlign w:val="center"/>
          </w:tcPr>
          <w:p>
            <w:pPr>
              <w:spacing w:after="120" w:line="276" w:lineRule="auto"/>
              <w:jc w:val="center"/>
              <w:rPr>
                <w:rFonts w:cs="Arial"/>
                <w:bCs/>
                <w:color w:val="000000"/>
                <w:sz w:val="18"/>
                <w:szCs w:val="18"/>
              </w:rPr>
            </w:pPr>
            <w:r>
              <w:rPr>
                <w:rFonts w:cs="Arial"/>
                <w:bCs/>
                <w:color w:val="000000"/>
                <w:sz w:val="18"/>
                <w:szCs w:val="18"/>
              </w:rPr>
              <w:t>DESCRIÇÃO/</w:t>
            </w:r>
          </w:p>
          <w:p>
            <w:pPr>
              <w:spacing w:after="120" w:line="276" w:lineRule="auto"/>
              <w:jc w:val="center"/>
              <w:rPr>
                <w:rFonts w:cs="Arial"/>
                <w:color w:val="000000"/>
                <w:sz w:val="18"/>
                <w:szCs w:val="18"/>
              </w:rPr>
            </w:pPr>
            <w:r>
              <w:rPr>
                <w:rFonts w:cs="Arial"/>
                <w:bCs/>
                <w:color w:val="000000"/>
                <w:sz w:val="18"/>
                <w:szCs w:val="18"/>
              </w:rPr>
              <w:t>ESPECIFICAÇÃO</w:t>
            </w:r>
          </w:p>
        </w:tc>
        <w:tc>
          <w:tcPr>
            <w:tcW w:w="709" w:type="dxa"/>
            <w:shd w:val="clear" w:color="auto" w:fill="A6A6A6"/>
            <w:vAlign w:val="center"/>
          </w:tcPr>
          <w:p>
            <w:pPr>
              <w:widowControl w:val="0"/>
              <w:suppressAutoHyphens/>
              <w:spacing w:after="120" w:line="276" w:lineRule="auto"/>
              <w:ind w:left="-106"/>
              <w:jc w:val="right"/>
              <w:rPr>
                <w:rFonts w:cs="Arial"/>
                <w:sz w:val="18"/>
                <w:szCs w:val="18"/>
              </w:rPr>
            </w:pPr>
            <w:r>
              <w:rPr>
                <w:rFonts w:cs="Arial"/>
                <w:sz w:val="18"/>
                <w:szCs w:val="18"/>
              </w:rPr>
              <w:t>UNID</w:t>
            </w:r>
          </w:p>
        </w:tc>
        <w:tc>
          <w:tcPr>
            <w:tcW w:w="851" w:type="dxa"/>
            <w:shd w:val="clear" w:color="auto" w:fill="A6A6A6"/>
            <w:vAlign w:val="center"/>
          </w:tcPr>
          <w:p>
            <w:pPr>
              <w:widowControl w:val="0"/>
              <w:suppressAutoHyphens/>
              <w:spacing w:after="120" w:line="276" w:lineRule="auto"/>
              <w:jc w:val="center"/>
              <w:rPr>
                <w:rFonts w:cs="Arial"/>
                <w:color w:val="000000"/>
                <w:sz w:val="18"/>
                <w:szCs w:val="18"/>
              </w:rPr>
            </w:pPr>
            <w:r>
              <w:rPr>
                <w:rFonts w:cs="Arial"/>
                <w:color w:val="000000"/>
                <w:sz w:val="18"/>
                <w:szCs w:val="18"/>
              </w:rPr>
              <w:t>QUANT</w:t>
            </w:r>
          </w:p>
        </w:tc>
        <w:tc>
          <w:tcPr>
            <w:tcW w:w="1417" w:type="dxa"/>
            <w:shd w:val="clear" w:color="auto" w:fill="A6A6A6"/>
            <w:vAlign w:val="center"/>
          </w:tcPr>
          <w:p>
            <w:pPr>
              <w:jc w:val="center"/>
              <w:rPr>
                <w:rFonts w:cs="Arial"/>
                <w:b/>
                <w:bCs/>
                <w:i/>
                <w:iCs/>
                <w:sz w:val="18"/>
                <w:szCs w:val="18"/>
              </w:rPr>
            </w:pPr>
            <w:r>
              <w:rPr>
                <w:rFonts w:cs="Arial"/>
                <w:b/>
                <w:bCs/>
                <w:i/>
                <w:iCs/>
                <w:sz w:val="18"/>
                <w:szCs w:val="18"/>
              </w:rPr>
              <w:t>VALOR UNIT</w:t>
            </w:r>
          </w:p>
          <w:p>
            <w:pPr>
              <w:jc w:val="center"/>
              <w:rPr>
                <w:rFonts w:cs="Arial"/>
                <w:b/>
                <w:bCs/>
                <w:i/>
                <w:iCs/>
                <w:sz w:val="18"/>
                <w:szCs w:val="18"/>
              </w:rPr>
            </w:pPr>
            <w:r>
              <w:rPr>
                <w:rFonts w:cs="Arial"/>
                <w:b/>
                <w:bCs/>
                <w:i/>
                <w:iCs/>
                <w:sz w:val="18"/>
                <w:szCs w:val="18"/>
              </w:rPr>
              <w:t>ANUAL (R$/m²)</w:t>
            </w:r>
          </w:p>
          <w:p>
            <w:pPr>
              <w:jc w:val="center"/>
              <w:rPr>
                <w:rFonts w:cs="Arial"/>
                <w:b/>
                <w:bCs/>
                <w:i/>
                <w:iCs/>
                <w:sz w:val="18"/>
                <w:szCs w:val="18"/>
              </w:rPr>
            </w:pPr>
          </w:p>
        </w:tc>
        <w:tc>
          <w:tcPr>
            <w:tcW w:w="1276" w:type="dxa"/>
            <w:shd w:val="clear" w:color="auto" w:fill="A6A6A6"/>
            <w:vAlign w:val="center"/>
          </w:tcPr>
          <w:p>
            <w:pPr>
              <w:jc w:val="center"/>
              <w:rPr>
                <w:rFonts w:cs="Arial"/>
                <w:b/>
                <w:bCs/>
                <w:i/>
                <w:iCs/>
                <w:sz w:val="18"/>
                <w:szCs w:val="18"/>
              </w:rPr>
            </w:pPr>
            <w:r>
              <w:rPr>
                <w:rFonts w:cs="Arial"/>
                <w:b/>
                <w:bCs/>
                <w:i/>
                <w:iCs/>
                <w:sz w:val="18"/>
                <w:szCs w:val="18"/>
              </w:rPr>
              <w:t>VALOR</w:t>
            </w:r>
          </w:p>
          <w:p>
            <w:pPr>
              <w:jc w:val="center"/>
              <w:rPr>
                <w:rFonts w:cs="Arial"/>
                <w:b/>
                <w:bCs/>
                <w:i/>
                <w:iCs/>
                <w:sz w:val="18"/>
                <w:szCs w:val="18"/>
              </w:rPr>
            </w:pPr>
            <w:r>
              <w:rPr>
                <w:rFonts w:cs="Arial"/>
                <w:b/>
                <w:bCs/>
                <w:i/>
                <w:iCs/>
                <w:sz w:val="18"/>
                <w:szCs w:val="18"/>
              </w:rPr>
              <w:t xml:space="preserve">ANUAL </w:t>
            </w:r>
          </w:p>
          <w:p>
            <w:pPr>
              <w:jc w:val="center"/>
              <w:rPr>
                <w:rFonts w:cs="Arial"/>
                <w:b/>
                <w:bCs/>
                <w:i/>
                <w:iCs/>
                <w:sz w:val="18"/>
                <w:szCs w:val="18"/>
              </w:rPr>
            </w:pPr>
            <w:r>
              <w:rPr>
                <w:rFonts w:cs="Arial"/>
                <w:b/>
                <w:bCs/>
                <w:i/>
                <w:iCs/>
                <w:sz w:val="18"/>
                <w:szCs w:val="18"/>
              </w:rPr>
              <w:t>(R$)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3"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09</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Áreas Internas - 44 Horas Semanais Diurnas</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16.426</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12,32</w:t>
            </w:r>
          </w:p>
        </w:tc>
        <w:tc>
          <w:tcPr>
            <w:tcW w:w="1276" w:type="dxa"/>
            <w:vAlign w:val="center"/>
          </w:tcPr>
          <w:p>
            <w:pPr>
              <w:widowControl w:val="0"/>
              <w:suppressAutoHyphens/>
              <w:spacing w:after="120" w:line="276" w:lineRule="auto"/>
              <w:jc w:val="center"/>
              <w:rPr>
                <w:rFonts w:cs="Arial"/>
                <w:color w:val="000000"/>
                <w:sz w:val="18"/>
                <w:szCs w:val="18"/>
              </w:rPr>
            </w:pPr>
            <w:r>
              <w:rPr>
                <w:rFonts w:hint="default" w:cs="Arial"/>
                <w:color w:val="000000"/>
                <w:sz w:val="18"/>
                <w:szCs w:val="18"/>
              </w:rPr>
              <w:t>202</w:t>
            </w:r>
            <w:r>
              <w:rPr>
                <w:rFonts w:hint="default" w:cs="Arial"/>
                <w:color w:val="000000"/>
                <w:sz w:val="18"/>
                <w:szCs w:val="18"/>
                <w:lang w:val="pt-BR"/>
              </w:rPr>
              <w:t>.</w:t>
            </w:r>
            <w:r>
              <w:rPr>
                <w:rFonts w:hint="default" w:cs="Arial"/>
                <w:color w:val="000000"/>
                <w:sz w:val="18"/>
                <w:szCs w:val="18"/>
              </w:rPr>
              <w:t>368,32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6"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10</w:t>
            </w:r>
          </w:p>
        </w:tc>
        <w:tc>
          <w:tcPr>
            <w:tcW w:w="2978" w:type="dxa"/>
            <w:vAlign w:val="center"/>
          </w:tcPr>
          <w:p>
            <w:pPr>
              <w:autoSpaceDE w:val="0"/>
              <w:autoSpaceDN w:val="0"/>
              <w:adjustRightInd w:val="0"/>
              <w:jc w:val="center"/>
              <w:rPr>
                <w:rFonts w:cs="Arial"/>
                <w:snapToGrid w:val="0"/>
                <w:sz w:val="18"/>
                <w:szCs w:val="18"/>
              </w:rPr>
            </w:pPr>
            <w:r>
              <w:rPr>
                <w:rFonts w:cs="Arial"/>
                <w:snapToGrid w:val="0"/>
                <w:sz w:val="18"/>
                <w:szCs w:val="18"/>
              </w:rPr>
              <w:t>Prestação de Serviço de Limpeza e Conservação - Áreas Externas - 44 Horas Semanais Diurnas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19.769</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13,48</w:t>
            </w:r>
          </w:p>
        </w:tc>
        <w:tc>
          <w:tcPr>
            <w:tcW w:w="1276" w:type="dxa"/>
            <w:vAlign w:val="center"/>
          </w:tcPr>
          <w:p>
            <w:pPr>
              <w:widowControl w:val="0"/>
              <w:suppressAutoHyphens/>
              <w:spacing w:after="120" w:line="276" w:lineRule="auto"/>
              <w:jc w:val="center"/>
              <w:rPr>
                <w:rFonts w:cs="Arial"/>
                <w:color w:val="000000"/>
                <w:sz w:val="18"/>
                <w:szCs w:val="18"/>
              </w:rPr>
            </w:pPr>
            <w:r>
              <w:rPr>
                <w:rFonts w:hint="default" w:cs="Arial"/>
                <w:color w:val="000000"/>
                <w:sz w:val="18"/>
                <w:szCs w:val="18"/>
              </w:rPr>
              <w:t>266</w:t>
            </w:r>
            <w:r>
              <w:rPr>
                <w:rFonts w:hint="default" w:cs="Arial"/>
                <w:color w:val="000000"/>
                <w:sz w:val="18"/>
                <w:szCs w:val="18"/>
                <w:lang w:val="pt-BR"/>
              </w:rPr>
              <w:t>.</w:t>
            </w:r>
            <w:r>
              <w:rPr>
                <w:rFonts w:hint="default" w:cs="Arial"/>
                <w:color w:val="000000"/>
                <w:sz w:val="18"/>
                <w:szCs w:val="18"/>
              </w:rPr>
              <w:t>486,12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11</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Esquadrias Externas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1906</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9,25</w:t>
            </w:r>
          </w:p>
        </w:tc>
        <w:tc>
          <w:tcPr>
            <w:tcW w:w="1276" w:type="dxa"/>
            <w:vAlign w:val="center"/>
          </w:tcPr>
          <w:p>
            <w:pPr>
              <w:widowControl w:val="0"/>
              <w:suppressAutoHyphens/>
              <w:spacing w:after="120" w:line="276" w:lineRule="auto"/>
              <w:jc w:val="center"/>
              <w:rPr>
                <w:rFonts w:cs="Arial"/>
                <w:color w:val="000000"/>
                <w:sz w:val="18"/>
                <w:szCs w:val="18"/>
              </w:rPr>
            </w:pPr>
            <w:r>
              <w:rPr>
                <w:rFonts w:hint="default" w:cs="Arial"/>
                <w:color w:val="000000"/>
                <w:sz w:val="18"/>
                <w:szCs w:val="18"/>
              </w:rPr>
              <w:t>17</w:t>
            </w:r>
            <w:r>
              <w:rPr>
                <w:rFonts w:hint="default" w:cs="Arial"/>
                <w:color w:val="000000"/>
                <w:sz w:val="18"/>
                <w:szCs w:val="18"/>
                <w:lang w:val="pt-BR"/>
              </w:rPr>
              <w:t>.</w:t>
            </w:r>
            <w:r>
              <w:rPr>
                <w:rFonts w:hint="default" w:cs="Arial"/>
                <w:color w:val="000000"/>
                <w:sz w:val="18"/>
                <w:szCs w:val="18"/>
              </w:rPr>
              <w:t>630,5</w:t>
            </w:r>
            <w:r>
              <w:rPr>
                <w:rFonts w:hint="default" w:cs="Arial"/>
                <w:color w:val="000000"/>
                <w:sz w:val="18"/>
                <w:szCs w:val="18"/>
                <w:lang w:val="pt-B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4" w:hRule="atLeast"/>
        </w:trPr>
        <w:tc>
          <w:tcPr>
            <w:tcW w:w="6663" w:type="dxa"/>
            <w:gridSpan w:val="5"/>
            <w:shd w:val="clear" w:color="auto" w:fill="A4A4A4" w:themeFill="background1" w:themeFillShade="A5"/>
            <w:vAlign w:val="center"/>
          </w:tcPr>
          <w:p>
            <w:pPr>
              <w:widowControl w:val="0"/>
              <w:suppressAutoHyphens/>
              <w:spacing w:after="120" w:line="276" w:lineRule="auto"/>
              <w:jc w:val="center"/>
              <w:rPr>
                <w:rFonts w:hint="default" w:cs="Arial"/>
                <w:color w:val="000000"/>
                <w:sz w:val="18"/>
                <w:szCs w:val="18"/>
                <w:highlight w:val="darkGray"/>
                <w:shd w:val="clear" w:color="auto" w:fill="auto"/>
              </w:rPr>
            </w:pPr>
            <w:r>
              <w:rPr>
                <w:rFonts w:cs="Arial"/>
                <w:color w:val="000000"/>
                <w:sz w:val="18"/>
                <w:szCs w:val="18"/>
                <w:highlight w:val="none"/>
                <w:shd w:val="clear" w:color="auto" w:fill="auto"/>
              </w:rPr>
              <w:t>Total</w:t>
            </w:r>
          </w:p>
        </w:tc>
        <w:tc>
          <w:tcPr>
            <w:tcW w:w="1276" w:type="dxa"/>
            <w:shd w:val="clear" w:color="auto" w:fill="A4A4A4" w:themeFill="background1" w:themeFillShade="A5"/>
            <w:vAlign w:val="bottom"/>
          </w:tcPr>
          <w:p>
            <w:pPr>
              <w:widowControl w:val="0"/>
              <w:suppressAutoHyphens/>
              <w:spacing w:after="120" w:line="276" w:lineRule="auto"/>
              <w:jc w:val="center"/>
              <w:rPr>
                <w:rFonts w:hint="default" w:cs="Arial"/>
                <w:color w:val="000000"/>
                <w:sz w:val="18"/>
                <w:szCs w:val="18"/>
                <w:highlight w:val="none"/>
                <w:shd w:val="clear" w:color="auto" w:fill="auto"/>
                <w:lang w:val="en-US" w:eastAsia="zh-CN"/>
              </w:rPr>
            </w:pPr>
            <w:r>
              <w:rPr>
                <w:rFonts w:hint="default" w:cs="Arial"/>
                <w:color w:val="000000"/>
                <w:sz w:val="18"/>
                <w:szCs w:val="18"/>
                <w:highlight w:val="none"/>
                <w:shd w:val="clear" w:color="auto" w:fill="auto"/>
                <w:lang w:val="en-US" w:eastAsia="zh-CN"/>
              </w:rPr>
              <w:t>486</w:t>
            </w:r>
            <w:r>
              <w:rPr>
                <w:rFonts w:hint="default" w:cs="Arial"/>
                <w:color w:val="000000"/>
                <w:sz w:val="18"/>
                <w:szCs w:val="18"/>
                <w:highlight w:val="none"/>
                <w:shd w:val="clear" w:color="auto" w:fill="auto"/>
                <w:lang w:val="pt-BR" w:eastAsia="zh-CN"/>
              </w:rPr>
              <w:t>.</w:t>
            </w:r>
            <w:r>
              <w:rPr>
                <w:rFonts w:hint="default" w:cs="Arial"/>
                <w:color w:val="000000"/>
                <w:sz w:val="18"/>
                <w:szCs w:val="18"/>
                <w:highlight w:val="none"/>
                <w:shd w:val="clear" w:color="auto" w:fill="auto"/>
                <w:lang w:val="en-US" w:eastAsia="zh-CN"/>
              </w:rPr>
              <w:t>484,94</w:t>
            </w:r>
          </w:p>
        </w:tc>
      </w:tr>
    </w:tbl>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r>
        <w:rPr>
          <w:b/>
          <w:bCs/>
          <w:lang w:val="pt-BR"/>
        </w:rPr>
        <w:t>Grupo 4 -  IFS/Campus Nossa Senhora da Glória</w:t>
      </w:r>
    </w:p>
    <w:p>
      <w:pPr>
        <w:ind w:firstLine="500" w:firstLineChars="250"/>
        <w:jc w:val="center"/>
        <w:rPr>
          <w:b/>
          <w:bCs/>
          <w:lang w:val="pt-BR"/>
        </w:rPr>
      </w:pPr>
    </w:p>
    <w:p>
      <w:pPr>
        <w:ind w:firstLine="500" w:firstLineChars="250"/>
        <w:jc w:val="center"/>
        <w:rPr>
          <w:b/>
          <w:bCs/>
          <w:lang w:val="pt-BR"/>
        </w:rPr>
      </w:pPr>
    </w:p>
    <w:tbl>
      <w:tblPr>
        <w:tblStyle w:val="15"/>
        <w:tblpPr w:leftFromText="180" w:rightFromText="180" w:vertAnchor="text" w:horzAnchor="page" w:tblpX="2337" w:tblpY="127"/>
        <w:tblOverlap w:val="never"/>
        <w:tblW w:w="79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8"/>
        <w:gridCol w:w="2978"/>
        <w:gridCol w:w="709"/>
        <w:gridCol w:w="851"/>
        <w:gridCol w:w="1417"/>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shd w:val="clear" w:color="auto" w:fill="A6A6A6"/>
            <w:vAlign w:val="center"/>
          </w:tcPr>
          <w:p>
            <w:pPr>
              <w:widowControl w:val="0"/>
              <w:suppressAutoHyphens/>
              <w:spacing w:after="120" w:line="276" w:lineRule="auto"/>
              <w:jc w:val="center"/>
              <w:rPr>
                <w:rFonts w:cs="Arial"/>
                <w:color w:val="000000"/>
                <w:sz w:val="18"/>
                <w:szCs w:val="18"/>
              </w:rPr>
            </w:pPr>
            <w:r>
              <w:rPr>
                <w:rFonts w:cs="Arial"/>
                <w:bCs/>
                <w:color w:val="000000"/>
                <w:sz w:val="18"/>
                <w:szCs w:val="18"/>
              </w:rPr>
              <w:t>ITEM</w:t>
            </w:r>
          </w:p>
        </w:tc>
        <w:tc>
          <w:tcPr>
            <w:tcW w:w="2978" w:type="dxa"/>
            <w:shd w:val="clear" w:color="auto" w:fill="A6A6A6"/>
            <w:vAlign w:val="center"/>
          </w:tcPr>
          <w:p>
            <w:pPr>
              <w:spacing w:after="120" w:line="276" w:lineRule="auto"/>
              <w:jc w:val="center"/>
              <w:rPr>
                <w:rFonts w:cs="Arial"/>
                <w:bCs/>
                <w:color w:val="000000"/>
                <w:sz w:val="18"/>
                <w:szCs w:val="18"/>
              </w:rPr>
            </w:pPr>
            <w:r>
              <w:rPr>
                <w:rFonts w:cs="Arial"/>
                <w:bCs/>
                <w:color w:val="000000"/>
                <w:sz w:val="18"/>
                <w:szCs w:val="18"/>
              </w:rPr>
              <w:t>DESCRIÇÃO/</w:t>
            </w:r>
          </w:p>
          <w:p>
            <w:pPr>
              <w:spacing w:after="120" w:line="276" w:lineRule="auto"/>
              <w:jc w:val="center"/>
              <w:rPr>
                <w:rFonts w:cs="Arial"/>
                <w:color w:val="000000"/>
                <w:sz w:val="18"/>
                <w:szCs w:val="18"/>
              </w:rPr>
            </w:pPr>
            <w:r>
              <w:rPr>
                <w:rFonts w:cs="Arial"/>
                <w:bCs/>
                <w:color w:val="000000"/>
                <w:sz w:val="18"/>
                <w:szCs w:val="18"/>
              </w:rPr>
              <w:t>ESPECIFICAÇÃO</w:t>
            </w:r>
          </w:p>
        </w:tc>
        <w:tc>
          <w:tcPr>
            <w:tcW w:w="709" w:type="dxa"/>
            <w:shd w:val="clear" w:color="auto" w:fill="A6A6A6"/>
            <w:vAlign w:val="center"/>
          </w:tcPr>
          <w:p>
            <w:pPr>
              <w:widowControl w:val="0"/>
              <w:suppressAutoHyphens/>
              <w:spacing w:after="120" w:line="276" w:lineRule="auto"/>
              <w:ind w:left="-106"/>
              <w:jc w:val="right"/>
              <w:rPr>
                <w:rFonts w:cs="Arial"/>
                <w:sz w:val="18"/>
                <w:szCs w:val="18"/>
              </w:rPr>
            </w:pPr>
            <w:r>
              <w:rPr>
                <w:rFonts w:cs="Arial"/>
                <w:sz w:val="18"/>
                <w:szCs w:val="18"/>
              </w:rPr>
              <w:t>UNID</w:t>
            </w:r>
          </w:p>
        </w:tc>
        <w:tc>
          <w:tcPr>
            <w:tcW w:w="851" w:type="dxa"/>
            <w:shd w:val="clear" w:color="auto" w:fill="A6A6A6"/>
            <w:vAlign w:val="center"/>
          </w:tcPr>
          <w:p>
            <w:pPr>
              <w:widowControl w:val="0"/>
              <w:suppressAutoHyphens/>
              <w:spacing w:after="120" w:line="276" w:lineRule="auto"/>
              <w:jc w:val="center"/>
              <w:rPr>
                <w:rFonts w:cs="Arial"/>
                <w:color w:val="000000"/>
                <w:sz w:val="18"/>
                <w:szCs w:val="18"/>
              </w:rPr>
            </w:pPr>
            <w:r>
              <w:rPr>
                <w:rFonts w:cs="Arial"/>
                <w:color w:val="000000"/>
                <w:sz w:val="18"/>
                <w:szCs w:val="18"/>
              </w:rPr>
              <w:t>QUANT</w:t>
            </w:r>
          </w:p>
        </w:tc>
        <w:tc>
          <w:tcPr>
            <w:tcW w:w="1417" w:type="dxa"/>
            <w:shd w:val="clear" w:color="auto" w:fill="A6A6A6"/>
            <w:vAlign w:val="center"/>
          </w:tcPr>
          <w:p>
            <w:pPr>
              <w:jc w:val="center"/>
              <w:rPr>
                <w:rFonts w:cs="Arial"/>
                <w:b/>
                <w:bCs/>
                <w:i/>
                <w:iCs/>
                <w:sz w:val="18"/>
                <w:szCs w:val="18"/>
              </w:rPr>
            </w:pPr>
            <w:r>
              <w:rPr>
                <w:rFonts w:cs="Arial"/>
                <w:b/>
                <w:bCs/>
                <w:i/>
                <w:iCs/>
                <w:sz w:val="18"/>
                <w:szCs w:val="18"/>
              </w:rPr>
              <w:t>VALOR UNIT</w:t>
            </w:r>
          </w:p>
          <w:p>
            <w:pPr>
              <w:jc w:val="center"/>
              <w:rPr>
                <w:rFonts w:cs="Arial"/>
                <w:b/>
                <w:bCs/>
                <w:i/>
                <w:iCs/>
                <w:sz w:val="18"/>
                <w:szCs w:val="18"/>
              </w:rPr>
            </w:pPr>
            <w:r>
              <w:rPr>
                <w:rFonts w:cs="Arial"/>
                <w:b/>
                <w:bCs/>
                <w:i/>
                <w:iCs/>
                <w:sz w:val="18"/>
                <w:szCs w:val="18"/>
              </w:rPr>
              <w:t>ANUAL (R$/m²)</w:t>
            </w:r>
          </w:p>
          <w:p>
            <w:pPr>
              <w:jc w:val="center"/>
              <w:rPr>
                <w:rFonts w:cs="Arial"/>
                <w:b/>
                <w:bCs/>
                <w:i/>
                <w:iCs/>
                <w:sz w:val="18"/>
                <w:szCs w:val="18"/>
              </w:rPr>
            </w:pPr>
          </w:p>
        </w:tc>
        <w:tc>
          <w:tcPr>
            <w:tcW w:w="1276" w:type="dxa"/>
            <w:shd w:val="clear" w:color="auto" w:fill="A6A6A6"/>
            <w:vAlign w:val="center"/>
          </w:tcPr>
          <w:p>
            <w:pPr>
              <w:jc w:val="center"/>
              <w:rPr>
                <w:rFonts w:cs="Arial"/>
                <w:b/>
                <w:bCs/>
                <w:i/>
                <w:iCs/>
                <w:sz w:val="18"/>
                <w:szCs w:val="18"/>
              </w:rPr>
            </w:pPr>
            <w:r>
              <w:rPr>
                <w:rFonts w:cs="Arial"/>
                <w:b/>
                <w:bCs/>
                <w:i/>
                <w:iCs/>
                <w:sz w:val="18"/>
                <w:szCs w:val="18"/>
              </w:rPr>
              <w:t>VALOR</w:t>
            </w:r>
          </w:p>
          <w:p>
            <w:pPr>
              <w:jc w:val="center"/>
              <w:rPr>
                <w:rFonts w:cs="Arial"/>
                <w:b/>
                <w:bCs/>
                <w:i/>
                <w:iCs/>
                <w:sz w:val="18"/>
                <w:szCs w:val="18"/>
              </w:rPr>
            </w:pPr>
            <w:r>
              <w:rPr>
                <w:rFonts w:cs="Arial"/>
                <w:b/>
                <w:bCs/>
                <w:i/>
                <w:iCs/>
                <w:sz w:val="18"/>
                <w:szCs w:val="18"/>
              </w:rPr>
              <w:t xml:space="preserve">ANUAL </w:t>
            </w:r>
          </w:p>
          <w:p>
            <w:pPr>
              <w:jc w:val="center"/>
              <w:rPr>
                <w:rFonts w:cs="Arial"/>
                <w:b/>
                <w:bCs/>
                <w:i/>
                <w:iCs/>
                <w:sz w:val="18"/>
                <w:szCs w:val="18"/>
              </w:rPr>
            </w:pPr>
            <w:r>
              <w:rPr>
                <w:rFonts w:cs="Arial"/>
                <w:b/>
                <w:bCs/>
                <w:i/>
                <w:iCs/>
                <w:sz w:val="18"/>
                <w:szCs w:val="18"/>
              </w:rPr>
              <w:t>(R$)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3"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12</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Áreas Internas - 44 Horas Semanais Diurnas</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7.086</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36,38</w:t>
            </w:r>
          </w:p>
        </w:tc>
        <w:tc>
          <w:tcPr>
            <w:tcW w:w="1276" w:type="dxa"/>
            <w:vAlign w:val="center"/>
          </w:tcPr>
          <w:p>
            <w:pPr>
              <w:widowControl w:val="0"/>
              <w:suppressAutoHyphens/>
              <w:spacing w:after="120" w:line="276" w:lineRule="auto"/>
              <w:jc w:val="center"/>
              <w:rPr>
                <w:rFonts w:cs="Arial"/>
                <w:color w:val="000000"/>
                <w:sz w:val="18"/>
                <w:szCs w:val="18"/>
                <w:lang w:val="pt-BR"/>
              </w:rPr>
            </w:pPr>
            <w:r>
              <w:rPr>
                <w:rFonts w:hint="default" w:cs="Arial"/>
                <w:color w:val="000000"/>
                <w:sz w:val="18"/>
                <w:szCs w:val="18"/>
                <w:lang w:val="pt-BR"/>
              </w:rPr>
              <w:t>257.788,68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6"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13</w:t>
            </w:r>
          </w:p>
        </w:tc>
        <w:tc>
          <w:tcPr>
            <w:tcW w:w="2978" w:type="dxa"/>
            <w:vAlign w:val="center"/>
          </w:tcPr>
          <w:p>
            <w:pPr>
              <w:autoSpaceDE w:val="0"/>
              <w:autoSpaceDN w:val="0"/>
              <w:adjustRightInd w:val="0"/>
              <w:jc w:val="center"/>
              <w:rPr>
                <w:rFonts w:cs="Arial"/>
                <w:snapToGrid w:val="0"/>
                <w:sz w:val="18"/>
                <w:szCs w:val="18"/>
              </w:rPr>
            </w:pPr>
            <w:r>
              <w:rPr>
                <w:rFonts w:cs="Arial"/>
                <w:snapToGrid w:val="0"/>
                <w:sz w:val="18"/>
                <w:szCs w:val="18"/>
              </w:rPr>
              <w:t>Prestação de Serviço de Limpeza e Conservação - Áreas Externas - 44 Horas Semanais Diurnas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25.755</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0,68</w:t>
            </w:r>
          </w:p>
        </w:tc>
        <w:tc>
          <w:tcPr>
            <w:tcW w:w="1276" w:type="dxa"/>
            <w:vAlign w:val="center"/>
          </w:tcPr>
          <w:p>
            <w:pPr>
              <w:widowControl w:val="0"/>
              <w:suppressAutoHyphens/>
              <w:spacing w:after="120" w:line="276" w:lineRule="auto"/>
              <w:jc w:val="center"/>
              <w:rPr>
                <w:rFonts w:cs="Arial"/>
                <w:color w:val="000000"/>
                <w:sz w:val="18"/>
                <w:szCs w:val="18"/>
                <w:lang w:val="pt-BR"/>
              </w:rPr>
            </w:pPr>
            <w:r>
              <w:rPr>
                <w:rFonts w:hint="default" w:cs="Arial"/>
                <w:color w:val="000000"/>
                <w:sz w:val="18"/>
                <w:szCs w:val="18"/>
                <w:lang w:val="pt-BR"/>
              </w:rPr>
              <w:t>17.513,40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14</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Esquadrias Externas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849</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4,32</w:t>
            </w:r>
          </w:p>
        </w:tc>
        <w:tc>
          <w:tcPr>
            <w:tcW w:w="1276" w:type="dxa"/>
            <w:vAlign w:val="center"/>
          </w:tcPr>
          <w:p>
            <w:pPr>
              <w:widowControl w:val="0"/>
              <w:suppressAutoHyphens/>
              <w:spacing w:after="120" w:line="276" w:lineRule="auto"/>
              <w:jc w:val="center"/>
              <w:rPr>
                <w:rFonts w:cs="Arial"/>
                <w:color w:val="000000"/>
                <w:sz w:val="18"/>
                <w:szCs w:val="18"/>
                <w:lang w:val="pt-BR"/>
              </w:rPr>
            </w:pPr>
            <w:r>
              <w:rPr>
                <w:rFonts w:hint="default" w:cs="Arial"/>
                <w:color w:val="000000"/>
                <w:sz w:val="18"/>
                <w:szCs w:val="18"/>
                <w:lang w:val="pt-BR"/>
              </w:rPr>
              <w:t>3.667,68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15</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 xml:space="preserve">Material para o serviço de limpeza </w:t>
            </w:r>
            <w:r>
              <w:rPr>
                <w:rFonts w:cs="Arial"/>
                <w:sz w:val="18"/>
                <w:szCs w:val="18"/>
              </w:rPr>
              <w:t>(Anexo II)</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Forn.</w:t>
            </w:r>
          </w:p>
        </w:tc>
        <w:tc>
          <w:tcPr>
            <w:tcW w:w="851" w:type="dxa"/>
            <w:vAlign w:val="center"/>
          </w:tcPr>
          <w:p>
            <w:pPr>
              <w:widowControl w:val="0"/>
              <w:suppressAutoHyphens/>
              <w:spacing w:after="120" w:line="276" w:lineRule="auto"/>
              <w:jc w:val="center"/>
              <w:rPr>
                <w:rFonts w:cs="Arial"/>
                <w:bCs/>
                <w:sz w:val="18"/>
                <w:szCs w:val="18"/>
                <w:lang w:val="pt-BR"/>
              </w:rPr>
            </w:pPr>
            <w:r>
              <w:rPr>
                <w:rFonts w:cs="Arial"/>
                <w:bCs/>
                <w:sz w:val="18"/>
                <w:szCs w:val="18"/>
                <w:lang w:val="pt-BR"/>
              </w:rPr>
              <w:t>1</w:t>
            </w:r>
          </w:p>
        </w:tc>
        <w:tc>
          <w:tcPr>
            <w:tcW w:w="1417" w:type="dxa"/>
            <w:vAlign w:val="bottom"/>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51.376,83</w:t>
            </w:r>
          </w:p>
        </w:tc>
        <w:tc>
          <w:tcPr>
            <w:tcW w:w="1276" w:type="dxa"/>
            <w:vAlign w:val="bottom"/>
          </w:tcPr>
          <w:p>
            <w:pPr>
              <w:widowControl w:val="0"/>
              <w:suppressAutoHyphens/>
              <w:spacing w:after="120" w:line="276" w:lineRule="auto"/>
              <w:jc w:val="center"/>
              <w:rPr>
                <w:rFonts w:ascii="Calibri" w:hAnsi="Calibri"/>
                <w:bCs/>
                <w:color w:val="000000"/>
                <w:sz w:val="22"/>
                <w:szCs w:val="22"/>
                <w:lang w:val="pt-BR"/>
              </w:rPr>
            </w:pPr>
            <w:r>
              <w:rPr>
                <w:rFonts w:ascii="Calibri" w:hAnsi="Calibri"/>
                <w:bCs/>
                <w:color w:val="000000"/>
                <w:sz w:val="22"/>
                <w:szCs w:val="22"/>
                <w:lang w:val="pt-BR"/>
              </w:rPr>
              <w:t>51.376,83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trPr>
        <w:tc>
          <w:tcPr>
            <w:tcW w:w="6663" w:type="dxa"/>
            <w:gridSpan w:val="5"/>
            <w:shd w:val="clear" w:color="auto" w:fill="A4A4A4" w:themeFill="background1" w:themeFillShade="A5"/>
            <w:vAlign w:val="center"/>
          </w:tcPr>
          <w:p>
            <w:pPr>
              <w:widowControl w:val="0"/>
              <w:suppressAutoHyphens/>
              <w:spacing w:after="120" w:line="276" w:lineRule="auto"/>
              <w:jc w:val="center"/>
              <w:rPr>
                <w:rFonts w:hint="default" w:cs="Arial"/>
                <w:color w:val="000000"/>
                <w:sz w:val="18"/>
                <w:szCs w:val="18"/>
                <w:highlight w:val="darkGray"/>
                <w:shd w:val="clear" w:color="auto" w:fill="auto"/>
              </w:rPr>
            </w:pPr>
            <w:r>
              <w:rPr>
                <w:rFonts w:cs="Arial"/>
                <w:color w:val="000000"/>
                <w:sz w:val="18"/>
                <w:szCs w:val="18"/>
                <w:highlight w:val="none"/>
                <w:shd w:val="clear" w:color="auto" w:fill="auto"/>
              </w:rPr>
              <w:t>Total</w:t>
            </w:r>
          </w:p>
        </w:tc>
        <w:tc>
          <w:tcPr>
            <w:tcW w:w="1276" w:type="dxa"/>
            <w:shd w:val="clear" w:color="auto" w:fill="A4A4A4" w:themeFill="background1" w:themeFillShade="A5"/>
            <w:vAlign w:val="bottom"/>
          </w:tcPr>
          <w:p>
            <w:pPr>
              <w:widowControl w:val="0"/>
              <w:suppressAutoHyphens/>
              <w:spacing w:after="120" w:line="276" w:lineRule="auto"/>
              <w:jc w:val="center"/>
              <w:rPr>
                <w:rFonts w:hint="default" w:cs="Arial"/>
                <w:color w:val="000000"/>
                <w:sz w:val="18"/>
                <w:szCs w:val="18"/>
                <w:highlight w:val="none"/>
                <w:shd w:val="clear" w:color="auto" w:fill="auto"/>
                <w:lang w:val="en-US" w:eastAsia="zh-CN"/>
              </w:rPr>
            </w:pPr>
            <w:r>
              <w:rPr>
                <w:rFonts w:hint="default" w:cs="Arial"/>
                <w:color w:val="000000"/>
                <w:sz w:val="18"/>
                <w:szCs w:val="18"/>
                <w:highlight w:val="none"/>
                <w:shd w:val="clear" w:color="auto" w:fill="auto"/>
                <w:lang w:val="en-US" w:eastAsia="zh-CN"/>
              </w:rPr>
              <w:t>330</w:t>
            </w:r>
            <w:r>
              <w:rPr>
                <w:rFonts w:hint="default" w:cs="Arial"/>
                <w:color w:val="000000"/>
                <w:sz w:val="18"/>
                <w:szCs w:val="18"/>
                <w:highlight w:val="none"/>
                <w:shd w:val="clear" w:color="auto" w:fill="auto"/>
                <w:lang w:val="pt-BR" w:eastAsia="zh-CN"/>
              </w:rPr>
              <w:t>.</w:t>
            </w:r>
            <w:r>
              <w:rPr>
                <w:rFonts w:hint="default" w:cs="Arial"/>
                <w:color w:val="000000"/>
                <w:sz w:val="18"/>
                <w:szCs w:val="18"/>
                <w:highlight w:val="none"/>
                <w:shd w:val="clear" w:color="auto" w:fill="auto"/>
                <w:lang w:val="en-US" w:eastAsia="zh-CN"/>
              </w:rPr>
              <w:t>346,59</w:t>
            </w:r>
          </w:p>
        </w:tc>
      </w:tr>
    </w:tbl>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r>
        <w:rPr>
          <w:b/>
          <w:bCs/>
          <w:lang w:val="pt-BR"/>
        </w:rPr>
        <w:t>Grupo 5 -  IFS/Campus Lagarto</w:t>
      </w:r>
    </w:p>
    <w:tbl>
      <w:tblPr>
        <w:tblStyle w:val="15"/>
        <w:tblpPr w:leftFromText="180" w:rightFromText="180" w:vertAnchor="text" w:horzAnchor="page" w:tblpX="2337" w:tblpY="439"/>
        <w:tblOverlap w:val="never"/>
        <w:tblW w:w="79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8"/>
        <w:gridCol w:w="2978"/>
        <w:gridCol w:w="709"/>
        <w:gridCol w:w="851"/>
        <w:gridCol w:w="1417"/>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shd w:val="clear" w:color="auto" w:fill="A6A6A6"/>
            <w:vAlign w:val="center"/>
          </w:tcPr>
          <w:p>
            <w:pPr>
              <w:widowControl w:val="0"/>
              <w:suppressAutoHyphens/>
              <w:spacing w:after="120" w:line="276" w:lineRule="auto"/>
              <w:jc w:val="center"/>
              <w:rPr>
                <w:rFonts w:cs="Arial"/>
                <w:color w:val="000000"/>
                <w:sz w:val="18"/>
                <w:szCs w:val="18"/>
              </w:rPr>
            </w:pPr>
            <w:r>
              <w:rPr>
                <w:rFonts w:cs="Arial"/>
                <w:bCs/>
                <w:color w:val="000000"/>
                <w:sz w:val="18"/>
                <w:szCs w:val="18"/>
              </w:rPr>
              <w:t>ITEM</w:t>
            </w:r>
          </w:p>
        </w:tc>
        <w:tc>
          <w:tcPr>
            <w:tcW w:w="2978" w:type="dxa"/>
            <w:shd w:val="clear" w:color="auto" w:fill="A6A6A6"/>
            <w:vAlign w:val="center"/>
          </w:tcPr>
          <w:p>
            <w:pPr>
              <w:spacing w:after="120" w:line="276" w:lineRule="auto"/>
              <w:jc w:val="center"/>
              <w:rPr>
                <w:rFonts w:cs="Arial"/>
                <w:bCs/>
                <w:color w:val="000000"/>
                <w:sz w:val="18"/>
                <w:szCs w:val="18"/>
              </w:rPr>
            </w:pPr>
            <w:r>
              <w:rPr>
                <w:rFonts w:cs="Arial"/>
                <w:bCs/>
                <w:color w:val="000000"/>
                <w:sz w:val="18"/>
                <w:szCs w:val="18"/>
              </w:rPr>
              <w:t>DESCRIÇÃO/</w:t>
            </w:r>
          </w:p>
          <w:p>
            <w:pPr>
              <w:spacing w:after="120" w:line="276" w:lineRule="auto"/>
              <w:jc w:val="center"/>
              <w:rPr>
                <w:rFonts w:cs="Arial"/>
                <w:color w:val="000000"/>
                <w:sz w:val="18"/>
                <w:szCs w:val="18"/>
              </w:rPr>
            </w:pPr>
            <w:r>
              <w:rPr>
                <w:rFonts w:cs="Arial"/>
                <w:bCs/>
                <w:color w:val="000000"/>
                <w:sz w:val="18"/>
                <w:szCs w:val="18"/>
              </w:rPr>
              <w:t>ESPECIFICAÇÃO</w:t>
            </w:r>
          </w:p>
        </w:tc>
        <w:tc>
          <w:tcPr>
            <w:tcW w:w="709" w:type="dxa"/>
            <w:shd w:val="clear" w:color="auto" w:fill="A6A6A6"/>
            <w:vAlign w:val="center"/>
          </w:tcPr>
          <w:p>
            <w:pPr>
              <w:widowControl w:val="0"/>
              <w:suppressAutoHyphens/>
              <w:spacing w:after="120" w:line="276" w:lineRule="auto"/>
              <w:ind w:left="-106"/>
              <w:jc w:val="right"/>
              <w:rPr>
                <w:rFonts w:cs="Arial"/>
                <w:sz w:val="18"/>
                <w:szCs w:val="18"/>
              </w:rPr>
            </w:pPr>
            <w:r>
              <w:rPr>
                <w:rFonts w:cs="Arial"/>
                <w:sz w:val="18"/>
                <w:szCs w:val="18"/>
              </w:rPr>
              <w:t>UNID</w:t>
            </w:r>
          </w:p>
        </w:tc>
        <w:tc>
          <w:tcPr>
            <w:tcW w:w="851" w:type="dxa"/>
            <w:shd w:val="clear" w:color="auto" w:fill="A6A6A6"/>
            <w:vAlign w:val="center"/>
          </w:tcPr>
          <w:p>
            <w:pPr>
              <w:widowControl w:val="0"/>
              <w:suppressAutoHyphens/>
              <w:spacing w:after="120" w:line="276" w:lineRule="auto"/>
              <w:jc w:val="center"/>
              <w:rPr>
                <w:rFonts w:cs="Arial"/>
                <w:color w:val="000000"/>
                <w:sz w:val="18"/>
                <w:szCs w:val="18"/>
              </w:rPr>
            </w:pPr>
            <w:r>
              <w:rPr>
                <w:rFonts w:cs="Arial"/>
                <w:color w:val="000000"/>
                <w:sz w:val="18"/>
                <w:szCs w:val="18"/>
              </w:rPr>
              <w:t>QUANT</w:t>
            </w:r>
          </w:p>
        </w:tc>
        <w:tc>
          <w:tcPr>
            <w:tcW w:w="1417" w:type="dxa"/>
            <w:shd w:val="clear" w:color="auto" w:fill="A6A6A6"/>
            <w:vAlign w:val="center"/>
          </w:tcPr>
          <w:p>
            <w:pPr>
              <w:jc w:val="center"/>
              <w:rPr>
                <w:rFonts w:cs="Arial"/>
                <w:b/>
                <w:bCs/>
                <w:i/>
                <w:iCs/>
                <w:sz w:val="18"/>
                <w:szCs w:val="18"/>
              </w:rPr>
            </w:pPr>
            <w:r>
              <w:rPr>
                <w:rFonts w:cs="Arial"/>
                <w:b/>
                <w:bCs/>
                <w:i/>
                <w:iCs/>
                <w:sz w:val="18"/>
                <w:szCs w:val="18"/>
              </w:rPr>
              <w:t>VALOR UNIT</w:t>
            </w:r>
          </w:p>
          <w:p>
            <w:pPr>
              <w:jc w:val="center"/>
              <w:rPr>
                <w:rFonts w:cs="Arial"/>
                <w:b/>
                <w:bCs/>
                <w:i/>
                <w:iCs/>
                <w:sz w:val="18"/>
                <w:szCs w:val="18"/>
              </w:rPr>
            </w:pPr>
            <w:r>
              <w:rPr>
                <w:rFonts w:cs="Arial"/>
                <w:b/>
                <w:bCs/>
                <w:i/>
                <w:iCs/>
                <w:sz w:val="18"/>
                <w:szCs w:val="18"/>
              </w:rPr>
              <w:t>ANUAL (R$/m²)</w:t>
            </w:r>
          </w:p>
          <w:p>
            <w:pPr>
              <w:jc w:val="center"/>
              <w:rPr>
                <w:rFonts w:cs="Arial"/>
                <w:b/>
                <w:bCs/>
                <w:i/>
                <w:iCs/>
                <w:sz w:val="18"/>
                <w:szCs w:val="18"/>
              </w:rPr>
            </w:pPr>
          </w:p>
        </w:tc>
        <w:tc>
          <w:tcPr>
            <w:tcW w:w="1276" w:type="dxa"/>
            <w:shd w:val="clear" w:color="auto" w:fill="A6A6A6"/>
            <w:vAlign w:val="center"/>
          </w:tcPr>
          <w:p>
            <w:pPr>
              <w:jc w:val="center"/>
              <w:rPr>
                <w:rFonts w:cs="Arial"/>
                <w:b/>
                <w:bCs/>
                <w:i/>
                <w:iCs/>
                <w:sz w:val="18"/>
                <w:szCs w:val="18"/>
              </w:rPr>
            </w:pPr>
            <w:r>
              <w:rPr>
                <w:rFonts w:cs="Arial"/>
                <w:b/>
                <w:bCs/>
                <w:i/>
                <w:iCs/>
                <w:sz w:val="18"/>
                <w:szCs w:val="18"/>
              </w:rPr>
              <w:t>VALOR</w:t>
            </w:r>
          </w:p>
          <w:p>
            <w:pPr>
              <w:jc w:val="center"/>
              <w:rPr>
                <w:rFonts w:cs="Arial"/>
                <w:b/>
                <w:bCs/>
                <w:i/>
                <w:iCs/>
                <w:sz w:val="18"/>
                <w:szCs w:val="18"/>
              </w:rPr>
            </w:pPr>
            <w:r>
              <w:rPr>
                <w:rFonts w:cs="Arial"/>
                <w:b/>
                <w:bCs/>
                <w:i/>
                <w:iCs/>
                <w:sz w:val="18"/>
                <w:szCs w:val="18"/>
              </w:rPr>
              <w:t xml:space="preserve">ANUAL </w:t>
            </w:r>
          </w:p>
          <w:p>
            <w:pPr>
              <w:jc w:val="center"/>
              <w:rPr>
                <w:rFonts w:cs="Arial"/>
                <w:b/>
                <w:bCs/>
                <w:i/>
                <w:iCs/>
                <w:sz w:val="18"/>
                <w:szCs w:val="18"/>
              </w:rPr>
            </w:pPr>
            <w:r>
              <w:rPr>
                <w:rFonts w:cs="Arial"/>
                <w:b/>
                <w:bCs/>
                <w:i/>
                <w:iCs/>
                <w:sz w:val="18"/>
                <w:szCs w:val="18"/>
              </w:rPr>
              <w:t>(R$)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3"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16</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Áreas Internas - 44 Horas Semanais Diurnas</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9.564</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36,38</w:t>
            </w:r>
          </w:p>
        </w:tc>
        <w:tc>
          <w:tcPr>
            <w:tcW w:w="1276" w:type="dxa"/>
            <w:vAlign w:val="center"/>
          </w:tcPr>
          <w:p>
            <w:pPr>
              <w:widowControl w:val="0"/>
              <w:suppressAutoHyphens/>
              <w:spacing w:after="120" w:line="276" w:lineRule="auto"/>
              <w:jc w:val="center"/>
              <w:rPr>
                <w:rFonts w:cs="Arial"/>
                <w:color w:val="000000"/>
                <w:sz w:val="18"/>
                <w:szCs w:val="18"/>
              </w:rPr>
            </w:pPr>
            <w:r>
              <w:rPr>
                <w:rFonts w:hint="default" w:cs="Arial"/>
                <w:color w:val="000000"/>
                <w:sz w:val="18"/>
                <w:szCs w:val="18"/>
              </w:rPr>
              <w:t>347</w:t>
            </w:r>
            <w:r>
              <w:rPr>
                <w:rFonts w:hint="default" w:cs="Arial"/>
                <w:color w:val="000000"/>
                <w:sz w:val="18"/>
                <w:szCs w:val="18"/>
                <w:lang w:val="pt-BR"/>
              </w:rPr>
              <w:t>.</w:t>
            </w:r>
            <w:r>
              <w:rPr>
                <w:rFonts w:hint="default" w:cs="Arial"/>
                <w:color w:val="000000"/>
                <w:sz w:val="18"/>
                <w:szCs w:val="18"/>
              </w:rPr>
              <w:t>938,32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6"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17</w:t>
            </w:r>
          </w:p>
        </w:tc>
        <w:tc>
          <w:tcPr>
            <w:tcW w:w="2978" w:type="dxa"/>
            <w:vAlign w:val="center"/>
          </w:tcPr>
          <w:p>
            <w:pPr>
              <w:autoSpaceDE w:val="0"/>
              <w:autoSpaceDN w:val="0"/>
              <w:adjustRightInd w:val="0"/>
              <w:jc w:val="center"/>
              <w:rPr>
                <w:rFonts w:cs="Arial"/>
                <w:snapToGrid w:val="0"/>
                <w:sz w:val="18"/>
                <w:szCs w:val="18"/>
              </w:rPr>
            </w:pPr>
            <w:r>
              <w:rPr>
                <w:rFonts w:cs="Arial"/>
                <w:snapToGrid w:val="0"/>
                <w:sz w:val="18"/>
                <w:szCs w:val="18"/>
              </w:rPr>
              <w:t>Prestação de Serviço de Limpeza e Conservação - Áreas Externas - 44 Horas Semanais Diurnas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17.190</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1,68</w:t>
            </w:r>
          </w:p>
        </w:tc>
        <w:tc>
          <w:tcPr>
            <w:tcW w:w="1276" w:type="dxa"/>
            <w:vAlign w:val="center"/>
          </w:tcPr>
          <w:p>
            <w:pPr>
              <w:widowControl w:val="0"/>
              <w:suppressAutoHyphens/>
              <w:spacing w:after="120" w:line="276" w:lineRule="auto"/>
              <w:jc w:val="center"/>
              <w:rPr>
                <w:rFonts w:cs="Arial"/>
                <w:color w:val="000000"/>
                <w:sz w:val="18"/>
                <w:szCs w:val="18"/>
              </w:rPr>
            </w:pPr>
            <w:r>
              <w:rPr>
                <w:rFonts w:hint="default" w:cs="Arial"/>
                <w:color w:val="000000"/>
                <w:sz w:val="18"/>
                <w:szCs w:val="18"/>
              </w:rPr>
              <w:t>28</w:t>
            </w:r>
            <w:r>
              <w:rPr>
                <w:rFonts w:hint="default" w:cs="Arial"/>
                <w:color w:val="000000"/>
                <w:sz w:val="18"/>
                <w:szCs w:val="18"/>
                <w:lang w:val="pt-BR"/>
              </w:rPr>
              <w:t>.</w:t>
            </w:r>
            <w:r>
              <w:rPr>
                <w:rFonts w:hint="default" w:cs="Arial"/>
                <w:color w:val="000000"/>
                <w:sz w:val="18"/>
                <w:szCs w:val="18"/>
              </w:rPr>
              <w:t>879,2</w:t>
            </w:r>
            <w:r>
              <w:rPr>
                <w:rFonts w:hint="default" w:cs="Arial"/>
                <w:color w:val="000000"/>
                <w:sz w:val="18"/>
                <w:szCs w:val="18"/>
                <w:lang w:val="pt-B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18</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Esquadrias Externas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3.004</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4,29</w:t>
            </w:r>
          </w:p>
        </w:tc>
        <w:tc>
          <w:tcPr>
            <w:tcW w:w="1276" w:type="dxa"/>
            <w:vAlign w:val="center"/>
          </w:tcPr>
          <w:p>
            <w:pPr>
              <w:widowControl w:val="0"/>
              <w:suppressAutoHyphens/>
              <w:spacing w:after="120" w:line="276" w:lineRule="auto"/>
              <w:jc w:val="center"/>
              <w:rPr>
                <w:rFonts w:cs="Arial"/>
                <w:color w:val="000000"/>
                <w:sz w:val="18"/>
                <w:szCs w:val="18"/>
              </w:rPr>
            </w:pPr>
            <w:r>
              <w:rPr>
                <w:rFonts w:hint="default" w:cs="Arial"/>
                <w:color w:val="000000"/>
                <w:sz w:val="18"/>
                <w:szCs w:val="18"/>
              </w:rPr>
              <w:t>12</w:t>
            </w:r>
            <w:r>
              <w:rPr>
                <w:rFonts w:hint="default" w:cs="Arial"/>
                <w:color w:val="000000"/>
                <w:sz w:val="18"/>
                <w:szCs w:val="18"/>
                <w:lang w:val="pt-BR"/>
              </w:rPr>
              <w:t>.</w:t>
            </w:r>
            <w:r>
              <w:rPr>
                <w:rFonts w:hint="default" w:cs="Arial"/>
                <w:color w:val="000000"/>
                <w:sz w:val="18"/>
                <w:szCs w:val="18"/>
              </w:rPr>
              <w:t>887,16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19</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 xml:space="preserve">Prestação de Serviço de Limpeza e Conservação - </w:t>
            </w:r>
            <w:r>
              <w:rPr>
                <w:rFonts w:cs="Arial"/>
                <w:snapToGrid w:val="0"/>
                <w:sz w:val="18"/>
                <w:szCs w:val="18"/>
                <w:lang w:val="pt-BR"/>
              </w:rPr>
              <w:t>Áreas Hospitaleres e assemelha</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bCs/>
                <w:sz w:val="18"/>
                <w:szCs w:val="18"/>
                <w:lang w:val="pt-BR"/>
              </w:rPr>
            </w:pPr>
            <w:r>
              <w:rPr>
                <w:rFonts w:cs="Arial"/>
                <w:bCs/>
                <w:sz w:val="18"/>
                <w:szCs w:val="18"/>
                <w:lang w:val="pt-BR"/>
              </w:rPr>
              <w:t>65</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79,73</w:t>
            </w:r>
          </w:p>
        </w:tc>
        <w:tc>
          <w:tcPr>
            <w:tcW w:w="1276" w:type="dxa"/>
            <w:vAlign w:val="center"/>
          </w:tcPr>
          <w:p>
            <w:pPr>
              <w:widowControl w:val="0"/>
              <w:suppressAutoHyphens/>
              <w:spacing w:after="120" w:line="276" w:lineRule="auto"/>
              <w:jc w:val="center"/>
              <w:rPr>
                <w:rFonts w:ascii="Calibri" w:hAnsi="Calibri"/>
                <w:bCs/>
                <w:color w:val="000000"/>
                <w:sz w:val="22"/>
                <w:szCs w:val="22"/>
              </w:rPr>
            </w:pPr>
            <w:r>
              <w:rPr>
                <w:rFonts w:hint="default" w:ascii="Calibri" w:hAnsi="Calibri"/>
                <w:bCs/>
                <w:color w:val="000000"/>
                <w:sz w:val="22"/>
                <w:szCs w:val="22"/>
              </w:rPr>
              <w:t>5</w:t>
            </w:r>
            <w:r>
              <w:rPr>
                <w:rFonts w:hint="default" w:ascii="Calibri" w:hAnsi="Calibri"/>
                <w:bCs/>
                <w:color w:val="000000"/>
                <w:sz w:val="22"/>
                <w:szCs w:val="22"/>
                <w:lang w:val="pt-BR"/>
              </w:rPr>
              <w:t>.</w:t>
            </w:r>
            <w:r>
              <w:rPr>
                <w:rFonts w:hint="default" w:ascii="Calibri" w:hAnsi="Calibri"/>
                <w:bCs/>
                <w:color w:val="000000"/>
                <w:sz w:val="22"/>
                <w:szCs w:val="22"/>
              </w:rPr>
              <w:t>182,45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trPr>
        <w:tc>
          <w:tcPr>
            <w:tcW w:w="6663" w:type="dxa"/>
            <w:gridSpan w:val="5"/>
            <w:shd w:val="clear" w:color="auto" w:fill="A4A4A4" w:themeFill="background1" w:themeFillShade="A5"/>
            <w:vAlign w:val="center"/>
          </w:tcPr>
          <w:p>
            <w:pPr>
              <w:widowControl w:val="0"/>
              <w:suppressAutoHyphens/>
              <w:spacing w:after="120" w:line="276" w:lineRule="auto"/>
              <w:jc w:val="center"/>
              <w:rPr>
                <w:rFonts w:hint="default" w:cs="Arial"/>
                <w:color w:val="000000"/>
                <w:sz w:val="18"/>
                <w:szCs w:val="18"/>
                <w:highlight w:val="darkGray"/>
                <w:shd w:val="clear" w:color="auto" w:fill="auto"/>
              </w:rPr>
            </w:pPr>
            <w:r>
              <w:rPr>
                <w:rFonts w:cs="Arial"/>
                <w:color w:val="000000"/>
                <w:sz w:val="18"/>
                <w:szCs w:val="18"/>
                <w:highlight w:val="none"/>
                <w:shd w:val="clear" w:color="auto" w:fill="auto"/>
              </w:rPr>
              <w:t>Total</w:t>
            </w:r>
          </w:p>
        </w:tc>
        <w:tc>
          <w:tcPr>
            <w:tcW w:w="1276" w:type="dxa"/>
            <w:shd w:val="clear" w:color="auto" w:fill="A4A4A4" w:themeFill="background1" w:themeFillShade="A5"/>
            <w:vAlign w:val="bottom"/>
          </w:tcPr>
          <w:p>
            <w:pPr>
              <w:widowControl w:val="0"/>
              <w:suppressAutoHyphens/>
              <w:spacing w:after="120" w:line="276" w:lineRule="auto"/>
              <w:jc w:val="center"/>
              <w:rPr>
                <w:rFonts w:hint="default" w:cs="Arial"/>
                <w:color w:val="000000"/>
                <w:sz w:val="18"/>
                <w:szCs w:val="18"/>
                <w:highlight w:val="none"/>
                <w:shd w:val="clear" w:color="auto" w:fill="auto"/>
                <w:lang w:val="en-US" w:eastAsia="zh-CN"/>
              </w:rPr>
            </w:pPr>
            <w:r>
              <w:rPr>
                <w:rFonts w:hint="default" w:cs="Arial"/>
                <w:color w:val="000000"/>
                <w:sz w:val="18"/>
                <w:szCs w:val="18"/>
                <w:highlight w:val="none"/>
                <w:shd w:val="clear" w:color="auto" w:fill="auto"/>
                <w:lang w:val="en-US" w:eastAsia="zh-CN"/>
              </w:rPr>
              <w:t>394</w:t>
            </w:r>
            <w:r>
              <w:rPr>
                <w:rFonts w:hint="default" w:cs="Arial"/>
                <w:color w:val="000000"/>
                <w:sz w:val="18"/>
                <w:szCs w:val="18"/>
                <w:highlight w:val="none"/>
                <w:shd w:val="clear" w:color="auto" w:fill="auto"/>
                <w:lang w:val="pt-BR" w:eastAsia="zh-CN"/>
              </w:rPr>
              <w:t>.</w:t>
            </w:r>
            <w:r>
              <w:rPr>
                <w:rFonts w:hint="default" w:cs="Arial"/>
                <w:color w:val="000000"/>
                <w:sz w:val="18"/>
                <w:szCs w:val="18"/>
                <w:highlight w:val="none"/>
                <w:shd w:val="clear" w:color="auto" w:fill="auto"/>
                <w:lang w:val="en-US" w:eastAsia="zh-CN"/>
              </w:rPr>
              <w:t>887,13</w:t>
            </w:r>
          </w:p>
        </w:tc>
      </w:tr>
    </w:tbl>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jc w:val="center"/>
        <w:rPr>
          <w:b/>
          <w:bCs/>
          <w:lang w:val="pt-BR"/>
        </w:rPr>
      </w:pPr>
      <w:r>
        <w:rPr>
          <w:b/>
          <w:bCs/>
          <w:lang w:val="pt-BR"/>
        </w:rPr>
        <w:t>Grupo 6 - IFS/Campus Tobias Barreto</w:t>
      </w:r>
    </w:p>
    <w:p>
      <w:pPr>
        <w:ind w:firstLine="500" w:firstLineChars="250"/>
        <w:jc w:val="center"/>
        <w:rPr>
          <w:b/>
          <w:bCs/>
          <w:lang w:val="pt-BR"/>
        </w:rPr>
      </w:pPr>
    </w:p>
    <w:tbl>
      <w:tblPr>
        <w:tblStyle w:val="15"/>
        <w:tblpPr w:leftFromText="180" w:rightFromText="180" w:vertAnchor="text" w:horzAnchor="page" w:tblpX="2253" w:tblpY="44"/>
        <w:tblOverlap w:val="never"/>
        <w:tblW w:w="79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8"/>
        <w:gridCol w:w="2978"/>
        <w:gridCol w:w="709"/>
        <w:gridCol w:w="851"/>
        <w:gridCol w:w="1417"/>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shd w:val="clear" w:color="auto" w:fill="A6A6A6"/>
            <w:vAlign w:val="center"/>
          </w:tcPr>
          <w:p>
            <w:pPr>
              <w:widowControl w:val="0"/>
              <w:suppressAutoHyphens/>
              <w:spacing w:after="120" w:line="276" w:lineRule="auto"/>
              <w:jc w:val="center"/>
              <w:rPr>
                <w:rFonts w:cs="Arial"/>
                <w:color w:val="000000"/>
                <w:sz w:val="18"/>
                <w:szCs w:val="18"/>
              </w:rPr>
            </w:pPr>
            <w:r>
              <w:rPr>
                <w:rFonts w:cs="Arial"/>
                <w:bCs/>
                <w:color w:val="000000"/>
                <w:sz w:val="18"/>
                <w:szCs w:val="18"/>
              </w:rPr>
              <w:t>TEM</w:t>
            </w:r>
          </w:p>
        </w:tc>
        <w:tc>
          <w:tcPr>
            <w:tcW w:w="2978" w:type="dxa"/>
            <w:shd w:val="clear" w:color="auto" w:fill="A6A6A6"/>
            <w:vAlign w:val="center"/>
          </w:tcPr>
          <w:p>
            <w:pPr>
              <w:spacing w:after="120" w:line="276" w:lineRule="auto"/>
              <w:jc w:val="center"/>
              <w:rPr>
                <w:rFonts w:cs="Arial"/>
                <w:bCs/>
                <w:color w:val="000000"/>
                <w:sz w:val="18"/>
                <w:szCs w:val="18"/>
              </w:rPr>
            </w:pPr>
            <w:r>
              <w:rPr>
                <w:rFonts w:cs="Arial"/>
                <w:bCs/>
                <w:color w:val="000000"/>
                <w:sz w:val="18"/>
                <w:szCs w:val="18"/>
              </w:rPr>
              <w:t>DESCRIÇÃO/</w:t>
            </w:r>
          </w:p>
          <w:p>
            <w:pPr>
              <w:spacing w:after="120" w:line="276" w:lineRule="auto"/>
              <w:jc w:val="center"/>
              <w:rPr>
                <w:rFonts w:cs="Arial"/>
                <w:color w:val="000000"/>
                <w:sz w:val="18"/>
                <w:szCs w:val="18"/>
              </w:rPr>
            </w:pPr>
            <w:r>
              <w:rPr>
                <w:rFonts w:cs="Arial"/>
                <w:bCs/>
                <w:color w:val="000000"/>
                <w:sz w:val="18"/>
                <w:szCs w:val="18"/>
              </w:rPr>
              <w:t>ESPECIFICAÇÃO</w:t>
            </w:r>
          </w:p>
        </w:tc>
        <w:tc>
          <w:tcPr>
            <w:tcW w:w="709" w:type="dxa"/>
            <w:shd w:val="clear" w:color="auto" w:fill="A6A6A6"/>
            <w:vAlign w:val="center"/>
          </w:tcPr>
          <w:p>
            <w:pPr>
              <w:widowControl w:val="0"/>
              <w:suppressAutoHyphens/>
              <w:spacing w:after="120" w:line="276" w:lineRule="auto"/>
              <w:ind w:left="-106"/>
              <w:jc w:val="right"/>
              <w:rPr>
                <w:rFonts w:cs="Arial"/>
                <w:sz w:val="18"/>
                <w:szCs w:val="18"/>
              </w:rPr>
            </w:pPr>
            <w:r>
              <w:rPr>
                <w:rFonts w:cs="Arial"/>
                <w:sz w:val="18"/>
                <w:szCs w:val="18"/>
              </w:rPr>
              <w:t>UNID</w:t>
            </w:r>
          </w:p>
        </w:tc>
        <w:tc>
          <w:tcPr>
            <w:tcW w:w="851" w:type="dxa"/>
            <w:shd w:val="clear" w:color="auto" w:fill="A6A6A6"/>
            <w:vAlign w:val="center"/>
          </w:tcPr>
          <w:p>
            <w:pPr>
              <w:widowControl w:val="0"/>
              <w:suppressAutoHyphens/>
              <w:spacing w:after="120" w:line="276" w:lineRule="auto"/>
              <w:jc w:val="center"/>
              <w:rPr>
                <w:rFonts w:cs="Arial"/>
                <w:b/>
                <w:bCs/>
                <w:color w:val="000000"/>
                <w:sz w:val="18"/>
                <w:szCs w:val="18"/>
              </w:rPr>
            </w:pPr>
            <w:r>
              <w:rPr>
                <w:rFonts w:cs="Arial"/>
                <w:color w:val="000000"/>
                <w:sz w:val="18"/>
                <w:szCs w:val="18"/>
              </w:rPr>
              <w:t>QUANT</w:t>
            </w:r>
          </w:p>
        </w:tc>
        <w:tc>
          <w:tcPr>
            <w:tcW w:w="1417" w:type="dxa"/>
            <w:shd w:val="clear" w:color="auto" w:fill="A6A6A6"/>
            <w:vAlign w:val="center"/>
          </w:tcPr>
          <w:p>
            <w:pPr>
              <w:jc w:val="center"/>
              <w:rPr>
                <w:rFonts w:cs="Arial"/>
                <w:b/>
                <w:bCs/>
                <w:i/>
                <w:iCs/>
                <w:sz w:val="18"/>
                <w:szCs w:val="18"/>
              </w:rPr>
            </w:pPr>
            <w:r>
              <w:rPr>
                <w:rFonts w:cs="Arial"/>
                <w:b/>
                <w:bCs/>
                <w:i/>
                <w:iCs/>
                <w:sz w:val="18"/>
                <w:szCs w:val="18"/>
              </w:rPr>
              <w:t>VALOR UNIT</w:t>
            </w:r>
          </w:p>
          <w:p>
            <w:pPr>
              <w:jc w:val="center"/>
              <w:rPr>
                <w:rFonts w:cs="Arial"/>
                <w:b/>
                <w:bCs/>
                <w:i/>
                <w:iCs/>
                <w:sz w:val="18"/>
                <w:szCs w:val="18"/>
              </w:rPr>
            </w:pPr>
            <w:r>
              <w:rPr>
                <w:rFonts w:cs="Arial"/>
                <w:b/>
                <w:bCs/>
                <w:i/>
                <w:iCs/>
                <w:sz w:val="18"/>
                <w:szCs w:val="18"/>
              </w:rPr>
              <w:t>ANUAL (R$/m²)</w:t>
            </w:r>
          </w:p>
          <w:p>
            <w:pPr>
              <w:jc w:val="center"/>
              <w:rPr>
                <w:rFonts w:cs="Arial"/>
                <w:b/>
                <w:bCs/>
                <w:i/>
                <w:iCs/>
                <w:sz w:val="18"/>
                <w:szCs w:val="18"/>
              </w:rPr>
            </w:pPr>
          </w:p>
        </w:tc>
        <w:tc>
          <w:tcPr>
            <w:tcW w:w="1276" w:type="dxa"/>
            <w:shd w:val="clear" w:color="auto" w:fill="A6A6A6"/>
            <w:vAlign w:val="center"/>
          </w:tcPr>
          <w:p>
            <w:pPr>
              <w:jc w:val="center"/>
              <w:rPr>
                <w:rFonts w:cs="Arial"/>
                <w:b/>
                <w:bCs/>
                <w:i/>
                <w:iCs/>
                <w:sz w:val="18"/>
                <w:szCs w:val="18"/>
              </w:rPr>
            </w:pPr>
            <w:r>
              <w:rPr>
                <w:rFonts w:cs="Arial"/>
                <w:b/>
                <w:bCs/>
                <w:i/>
                <w:iCs/>
                <w:sz w:val="18"/>
                <w:szCs w:val="18"/>
              </w:rPr>
              <w:t>VALOR</w:t>
            </w:r>
          </w:p>
          <w:p>
            <w:pPr>
              <w:jc w:val="center"/>
              <w:rPr>
                <w:rFonts w:cs="Arial"/>
                <w:b/>
                <w:bCs/>
                <w:i/>
                <w:iCs/>
                <w:sz w:val="18"/>
                <w:szCs w:val="18"/>
              </w:rPr>
            </w:pPr>
            <w:r>
              <w:rPr>
                <w:rFonts w:cs="Arial"/>
                <w:b/>
                <w:bCs/>
                <w:i/>
                <w:iCs/>
                <w:sz w:val="18"/>
                <w:szCs w:val="18"/>
              </w:rPr>
              <w:t xml:space="preserve">ANUAL </w:t>
            </w:r>
          </w:p>
          <w:p>
            <w:pPr>
              <w:jc w:val="center"/>
              <w:rPr>
                <w:rFonts w:cs="Arial"/>
                <w:b/>
                <w:bCs/>
                <w:i/>
                <w:iCs/>
                <w:sz w:val="18"/>
                <w:szCs w:val="18"/>
              </w:rPr>
            </w:pPr>
            <w:r>
              <w:rPr>
                <w:rFonts w:cs="Arial"/>
                <w:b/>
                <w:bCs/>
                <w:i/>
                <w:iCs/>
                <w:sz w:val="18"/>
                <w:szCs w:val="18"/>
              </w:rPr>
              <w:t>(R$)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3"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20</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Áreas Internas - 44 Horas Semanais Diurnas</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2.283</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21,65</w:t>
            </w:r>
          </w:p>
        </w:tc>
        <w:tc>
          <w:tcPr>
            <w:tcW w:w="1276" w:type="dxa"/>
            <w:vAlign w:val="center"/>
          </w:tcPr>
          <w:p>
            <w:pPr>
              <w:widowControl w:val="0"/>
              <w:suppressAutoHyphens/>
              <w:spacing w:after="120" w:line="276" w:lineRule="auto"/>
              <w:jc w:val="center"/>
              <w:rPr>
                <w:rFonts w:cs="Arial"/>
                <w:color w:val="000000"/>
                <w:sz w:val="18"/>
                <w:szCs w:val="18"/>
              </w:rPr>
            </w:pPr>
            <w:r>
              <w:rPr>
                <w:rFonts w:hint="default" w:cs="Arial"/>
                <w:color w:val="000000"/>
                <w:sz w:val="18"/>
                <w:szCs w:val="18"/>
              </w:rPr>
              <w:t>49</w:t>
            </w:r>
            <w:r>
              <w:rPr>
                <w:rFonts w:hint="default" w:cs="Arial"/>
                <w:color w:val="000000"/>
                <w:sz w:val="18"/>
                <w:szCs w:val="18"/>
                <w:lang w:val="pt-BR"/>
              </w:rPr>
              <w:t>.</w:t>
            </w:r>
            <w:r>
              <w:rPr>
                <w:rFonts w:hint="default" w:cs="Arial"/>
                <w:color w:val="000000"/>
                <w:sz w:val="18"/>
                <w:szCs w:val="18"/>
              </w:rPr>
              <w:t>426,95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6"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21</w:t>
            </w:r>
          </w:p>
        </w:tc>
        <w:tc>
          <w:tcPr>
            <w:tcW w:w="2978" w:type="dxa"/>
            <w:vAlign w:val="center"/>
          </w:tcPr>
          <w:p>
            <w:pPr>
              <w:autoSpaceDE w:val="0"/>
              <w:autoSpaceDN w:val="0"/>
              <w:adjustRightInd w:val="0"/>
              <w:jc w:val="center"/>
              <w:rPr>
                <w:rFonts w:cs="Arial"/>
                <w:snapToGrid w:val="0"/>
                <w:sz w:val="18"/>
                <w:szCs w:val="18"/>
              </w:rPr>
            </w:pPr>
            <w:r>
              <w:rPr>
                <w:rFonts w:cs="Arial"/>
                <w:snapToGrid w:val="0"/>
                <w:sz w:val="18"/>
                <w:szCs w:val="18"/>
              </w:rPr>
              <w:t>Prestação de Serviço de Limpeza e Conservação - Áreas Externas - 44 Horas Semanais Diurnas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1.814</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2,58</w:t>
            </w:r>
          </w:p>
        </w:tc>
        <w:tc>
          <w:tcPr>
            <w:tcW w:w="1276" w:type="dxa"/>
            <w:vAlign w:val="center"/>
          </w:tcPr>
          <w:p>
            <w:pPr>
              <w:widowControl w:val="0"/>
              <w:suppressAutoHyphens/>
              <w:spacing w:after="120" w:line="276" w:lineRule="auto"/>
              <w:jc w:val="center"/>
              <w:rPr>
                <w:rFonts w:cs="Arial"/>
                <w:color w:val="000000"/>
                <w:sz w:val="18"/>
                <w:szCs w:val="18"/>
              </w:rPr>
            </w:pPr>
            <w:r>
              <w:rPr>
                <w:rFonts w:hint="default" w:cs="Arial"/>
                <w:color w:val="000000"/>
                <w:sz w:val="18"/>
                <w:szCs w:val="18"/>
              </w:rPr>
              <w:t>4</w:t>
            </w:r>
            <w:r>
              <w:rPr>
                <w:rFonts w:hint="default" w:cs="Arial"/>
                <w:color w:val="000000"/>
                <w:sz w:val="18"/>
                <w:szCs w:val="18"/>
                <w:lang w:val="pt-BR"/>
              </w:rPr>
              <w:t>.</w:t>
            </w:r>
            <w:r>
              <w:rPr>
                <w:rFonts w:hint="default" w:cs="Arial"/>
                <w:color w:val="000000"/>
                <w:sz w:val="18"/>
                <w:szCs w:val="18"/>
              </w:rPr>
              <w:t>680,12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22</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Esquadrias Externas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941</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17,86</w:t>
            </w:r>
          </w:p>
        </w:tc>
        <w:tc>
          <w:tcPr>
            <w:tcW w:w="1276" w:type="dxa"/>
            <w:vAlign w:val="center"/>
          </w:tcPr>
          <w:p>
            <w:pPr>
              <w:widowControl w:val="0"/>
              <w:suppressAutoHyphens/>
              <w:spacing w:after="120" w:line="276" w:lineRule="auto"/>
              <w:jc w:val="center"/>
              <w:rPr>
                <w:rFonts w:cs="Arial"/>
                <w:color w:val="000000"/>
                <w:sz w:val="18"/>
                <w:szCs w:val="18"/>
              </w:rPr>
            </w:pPr>
            <w:r>
              <w:rPr>
                <w:rFonts w:hint="default" w:cs="Arial"/>
                <w:color w:val="000000"/>
                <w:sz w:val="18"/>
                <w:szCs w:val="18"/>
              </w:rPr>
              <w:t>16</w:t>
            </w:r>
            <w:r>
              <w:rPr>
                <w:rFonts w:hint="default" w:cs="Arial"/>
                <w:color w:val="000000"/>
                <w:sz w:val="18"/>
                <w:szCs w:val="18"/>
                <w:lang w:val="pt-BR"/>
              </w:rPr>
              <w:t>.</w:t>
            </w:r>
            <w:r>
              <w:rPr>
                <w:rFonts w:hint="default" w:cs="Arial"/>
                <w:color w:val="000000"/>
                <w:sz w:val="18"/>
                <w:szCs w:val="18"/>
              </w:rPr>
              <w:t>806,26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23</w:t>
            </w:r>
          </w:p>
        </w:tc>
        <w:tc>
          <w:tcPr>
            <w:tcW w:w="2978" w:type="dxa"/>
            <w:vAlign w:val="center"/>
          </w:tcPr>
          <w:p>
            <w:pPr>
              <w:widowControl w:val="0"/>
              <w:suppressAutoHyphens/>
              <w:spacing w:after="120" w:line="276" w:lineRule="auto"/>
              <w:jc w:val="center"/>
              <w:rPr>
                <w:rFonts w:cs="Arial"/>
                <w:snapToGrid w:val="0"/>
                <w:sz w:val="18"/>
                <w:szCs w:val="18"/>
                <w:lang w:val="pt-BR"/>
              </w:rPr>
            </w:pPr>
            <w:r>
              <w:rPr>
                <w:rFonts w:cs="Arial"/>
                <w:snapToGrid w:val="0"/>
                <w:sz w:val="18"/>
                <w:szCs w:val="18"/>
              </w:rPr>
              <w:t xml:space="preserve">Prestação de Serviço de Limpeza e Conservação - </w:t>
            </w:r>
            <w:r>
              <w:rPr>
                <w:rFonts w:cs="Arial"/>
                <w:snapToGrid w:val="0"/>
                <w:sz w:val="18"/>
                <w:szCs w:val="18"/>
                <w:lang w:val="pt-BR"/>
              </w:rPr>
              <w:t>Fachadas Envidraçadas</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bCs/>
                <w:sz w:val="18"/>
                <w:szCs w:val="18"/>
                <w:lang w:val="pt-BR"/>
              </w:rPr>
            </w:pPr>
            <w:r>
              <w:rPr>
                <w:rFonts w:cs="Arial"/>
                <w:bCs/>
                <w:sz w:val="18"/>
                <w:szCs w:val="18"/>
                <w:lang w:val="pt-BR"/>
              </w:rPr>
              <w:t>470</w:t>
            </w:r>
          </w:p>
        </w:tc>
        <w:tc>
          <w:tcPr>
            <w:tcW w:w="1417" w:type="dxa"/>
            <w:vAlign w:val="bottom"/>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48,02</w:t>
            </w:r>
          </w:p>
        </w:tc>
        <w:tc>
          <w:tcPr>
            <w:tcW w:w="1276" w:type="dxa"/>
            <w:vAlign w:val="bottom"/>
          </w:tcPr>
          <w:p>
            <w:pPr>
              <w:widowControl w:val="0"/>
              <w:suppressAutoHyphens/>
              <w:spacing w:after="120" w:line="276" w:lineRule="auto"/>
              <w:jc w:val="center"/>
              <w:rPr>
                <w:rFonts w:ascii="Calibri" w:hAnsi="Calibri"/>
                <w:bCs/>
                <w:color w:val="000000"/>
                <w:sz w:val="22"/>
                <w:szCs w:val="22"/>
                <w:lang w:val="pt-BR"/>
              </w:rPr>
            </w:pPr>
            <w:r>
              <w:rPr>
                <w:rFonts w:hint="default" w:ascii="Calibri" w:hAnsi="Calibri"/>
                <w:bCs/>
                <w:color w:val="000000"/>
                <w:sz w:val="22"/>
                <w:szCs w:val="22"/>
                <w:lang w:val="pt-BR"/>
              </w:rPr>
              <w:t>22569,4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24</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 xml:space="preserve">Material para o serviço de limpeza </w:t>
            </w:r>
            <w:r>
              <w:rPr>
                <w:rFonts w:cs="Arial"/>
                <w:sz w:val="18"/>
                <w:szCs w:val="18"/>
              </w:rPr>
              <w:t>(Anexo II)</w:t>
            </w:r>
          </w:p>
        </w:tc>
        <w:tc>
          <w:tcPr>
            <w:tcW w:w="709" w:type="dxa"/>
            <w:vAlign w:val="center"/>
          </w:tcPr>
          <w:p>
            <w:pPr>
              <w:widowControl w:val="0"/>
              <w:suppressAutoHyphens/>
              <w:spacing w:after="120" w:line="276" w:lineRule="auto"/>
              <w:ind w:left="34" w:leftChars="0"/>
              <w:jc w:val="center"/>
              <w:rPr>
                <w:rFonts w:cs="Arial"/>
                <w:color w:val="000000"/>
                <w:sz w:val="18"/>
                <w:szCs w:val="18"/>
              </w:rPr>
            </w:pPr>
            <w:r>
              <w:rPr>
                <w:rFonts w:cs="Arial"/>
                <w:color w:val="000000"/>
                <w:sz w:val="18"/>
                <w:szCs w:val="18"/>
              </w:rPr>
              <w:t>Forn.</w:t>
            </w:r>
          </w:p>
        </w:tc>
        <w:tc>
          <w:tcPr>
            <w:tcW w:w="851" w:type="dxa"/>
            <w:vAlign w:val="center"/>
          </w:tcPr>
          <w:p>
            <w:pPr>
              <w:widowControl w:val="0"/>
              <w:suppressAutoHyphens/>
              <w:spacing w:after="120" w:line="276" w:lineRule="auto"/>
              <w:jc w:val="center"/>
              <w:rPr>
                <w:rFonts w:cs="Arial"/>
                <w:bCs/>
                <w:sz w:val="18"/>
                <w:szCs w:val="18"/>
                <w:lang w:val="pt-BR"/>
              </w:rPr>
            </w:pPr>
            <w:r>
              <w:rPr>
                <w:rFonts w:cs="Arial"/>
                <w:bCs/>
                <w:sz w:val="18"/>
                <w:szCs w:val="18"/>
                <w:lang w:val="pt-BR"/>
              </w:rPr>
              <w:t>1</w:t>
            </w:r>
          </w:p>
        </w:tc>
        <w:tc>
          <w:tcPr>
            <w:tcW w:w="1417" w:type="dxa"/>
            <w:vAlign w:val="bottom"/>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51.376,83</w:t>
            </w:r>
          </w:p>
        </w:tc>
        <w:tc>
          <w:tcPr>
            <w:tcW w:w="1276" w:type="dxa"/>
            <w:vAlign w:val="bottom"/>
          </w:tcPr>
          <w:p>
            <w:pPr>
              <w:widowControl w:val="0"/>
              <w:suppressAutoHyphens/>
              <w:spacing w:after="120" w:line="276" w:lineRule="auto"/>
              <w:jc w:val="center"/>
              <w:rPr>
                <w:rFonts w:hint="default" w:ascii="Calibri" w:hAnsi="Calibri"/>
                <w:bCs/>
                <w:color w:val="000000"/>
                <w:sz w:val="22"/>
                <w:szCs w:val="22"/>
                <w:lang w:val="pt-BR"/>
              </w:rPr>
            </w:pPr>
            <w:r>
              <w:rPr>
                <w:rFonts w:ascii="Calibri" w:hAnsi="Calibri"/>
                <w:bCs/>
                <w:color w:val="000000"/>
                <w:sz w:val="22"/>
                <w:szCs w:val="22"/>
                <w:lang w:val="pt-BR"/>
              </w:rPr>
              <w:t>51.376,83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trPr>
        <w:tc>
          <w:tcPr>
            <w:tcW w:w="6663" w:type="dxa"/>
            <w:gridSpan w:val="5"/>
            <w:shd w:val="clear" w:color="auto" w:fill="A4A4A4" w:themeFill="background1" w:themeFillShade="A5"/>
            <w:vAlign w:val="center"/>
          </w:tcPr>
          <w:p>
            <w:pPr>
              <w:widowControl w:val="0"/>
              <w:suppressAutoHyphens/>
              <w:spacing w:after="120" w:line="276" w:lineRule="auto"/>
              <w:jc w:val="center"/>
              <w:rPr>
                <w:rFonts w:hint="default" w:cs="Arial"/>
                <w:color w:val="000000"/>
                <w:sz w:val="18"/>
                <w:szCs w:val="18"/>
                <w:lang w:val="pt-BR"/>
              </w:rPr>
            </w:pPr>
            <w:r>
              <w:rPr>
                <w:rFonts w:cs="Arial"/>
                <w:color w:val="000000"/>
                <w:sz w:val="18"/>
                <w:szCs w:val="18"/>
                <w:highlight w:val="none"/>
                <w:shd w:val="clear" w:color="auto" w:fill="auto"/>
              </w:rPr>
              <w:t>Total</w:t>
            </w:r>
          </w:p>
        </w:tc>
        <w:tc>
          <w:tcPr>
            <w:tcW w:w="1276" w:type="dxa"/>
            <w:shd w:val="clear" w:color="auto" w:fill="A4A4A4" w:themeFill="background1" w:themeFillShade="A5"/>
            <w:vAlign w:val="bottom"/>
          </w:tcPr>
          <w:p>
            <w:pPr>
              <w:widowControl w:val="0"/>
              <w:suppressAutoHyphens/>
              <w:spacing w:after="120" w:line="276" w:lineRule="auto"/>
              <w:jc w:val="center"/>
              <w:rPr>
                <w:rFonts w:ascii="Calibri" w:hAnsi="Calibri"/>
                <w:bCs/>
                <w:color w:val="000000"/>
                <w:sz w:val="22"/>
                <w:szCs w:val="22"/>
                <w:lang w:val="pt-BR"/>
              </w:rPr>
            </w:pPr>
            <w:r>
              <w:rPr>
                <w:rFonts w:hint="default" w:ascii="Calibri" w:hAnsi="Calibri"/>
                <w:bCs/>
                <w:color w:val="000000"/>
                <w:sz w:val="22"/>
                <w:szCs w:val="22"/>
                <w:lang w:val="pt-BR"/>
              </w:rPr>
              <w:t>144.859,56</w:t>
            </w:r>
          </w:p>
        </w:tc>
      </w:tr>
    </w:tbl>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rPr>
          <w:rFonts w:ascii="Calibri" w:hAnsi="Calibri" w:cs="Tahoma"/>
          <w:color w:val="auto"/>
          <w:sz w:val="24"/>
          <w:szCs w:val="24"/>
        </w:rPr>
      </w:pPr>
    </w:p>
    <w:p>
      <w:pPr>
        <w:jc w:val="center"/>
        <w:rPr>
          <w:b/>
          <w:bCs/>
          <w:lang w:val="pt-BR"/>
        </w:rPr>
      </w:pPr>
      <w:r>
        <w:rPr>
          <w:b/>
          <w:bCs/>
          <w:lang w:val="pt-BR"/>
        </w:rPr>
        <w:t>Grupo 7 -  IFS/Campus Itabaiana</w:t>
      </w:r>
    </w:p>
    <w:p>
      <w:pPr>
        <w:rPr>
          <w:rFonts w:ascii="Calibri" w:hAnsi="Calibri" w:cs="Tahoma"/>
          <w:color w:val="auto"/>
          <w:sz w:val="24"/>
          <w:szCs w:val="24"/>
        </w:rPr>
      </w:pPr>
    </w:p>
    <w:tbl>
      <w:tblPr>
        <w:tblStyle w:val="15"/>
        <w:tblpPr w:leftFromText="180" w:rightFromText="180" w:vertAnchor="text" w:horzAnchor="page" w:tblpX="2343" w:tblpY="162"/>
        <w:tblOverlap w:val="never"/>
        <w:tblW w:w="79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8"/>
        <w:gridCol w:w="2978"/>
        <w:gridCol w:w="709"/>
        <w:gridCol w:w="851"/>
        <w:gridCol w:w="1417"/>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708" w:type="dxa"/>
            <w:shd w:val="clear" w:color="auto" w:fill="A6A6A6"/>
            <w:vAlign w:val="center"/>
          </w:tcPr>
          <w:p>
            <w:pPr>
              <w:widowControl w:val="0"/>
              <w:suppressAutoHyphens/>
              <w:spacing w:after="120" w:line="276" w:lineRule="auto"/>
              <w:jc w:val="center"/>
              <w:rPr>
                <w:rFonts w:cs="Arial"/>
                <w:bCs/>
                <w:color w:val="000000"/>
                <w:sz w:val="18"/>
                <w:szCs w:val="18"/>
              </w:rPr>
            </w:pPr>
          </w:p>
          <w:p>
            <w:pPr>
              <w:widowControl w:val="0"/>
              <w:suppressAutoHyphens/>
              <w:spacing w:after="120" w:line="276" w:lineRule="auto"/>
              <w:jc w:val="center"/>
              <w:rPr>
                <w:rFonts w:cs="Arial"/>
                <w:color w:val="000000"/>
                <w:sz w:val="18"/>
                <w:szCs w:val="18"/>
              </w:rPr>
            </w:pPr>
            <w:r>
              <w:rPr>
                <w:rFonts w:cs="Arial"/>
                <w:bCs/>
                <w:color w:val="000000"/>
                <w:sz w:val="18"/>
                <w:szCs w:val="18"/>
              </w:rPr>
              <w:t>ITEM</w:t>
            </w:r>
          </w:p>
        </w:tc>
        <w:tc>
          <w:tcPr>
            <w:tcW w:w="2978" w:type="dxa"/>
            <w:shd w:val="clear" w:color="auto" w:fill="A6A6A6"/>
            <w:vAlign w:val="center"/>
          </w:tcPr>
          <w:p>
            <w:pPr>
              <w:spacing w:after="120" w:line="276" w:lineRule="auto"/>
              <w:jc w:val="center"/>
              <w:rPr>
                <w:rFonts w:cs="Arial"/>
                <w:bCs/>
                <w:color w:val="000000"/>
                <w:sz w:val="18"/>
                <w:szCs w:val="18"/>
              </w:rPr>
            </w:pPr>
            <w:r>
              <w:rPr>
                <w:rFonts w:cs="Arial"/>
                <w:bCs/>
                <w:color w:val="000000"/>
                <w:sz w:val="18"/>
                <w:szCs w:val="18"/>
              </w:rPr>
              <w:t>DESCRIÇÃO/</w:t>
            </w:r>
          </w:p>
          <w:p>
            <w:pPr>
              <w:spacing w:after="120" w:line="276" w:lineRule="auto"/>
              <w:jc w:val="center"/>
              <w:rPr>
                <w:rFonts w:cs="Arial"/>
                <w:color w:val="000000"/>
                <w:sz w:val="18"/>
                <w:szCs w:val="18"/>
              </w:rPr>
            </w:pPr>
            <w:r>
              <w:rPr>
                <w:rFonts w:cs="Arial"/>
                <w:bCs/>
                <w:color w:val="000000"/>
                <w:sz w:val="18"/>
                <w:szCs w:val="18"/>
              </w:rPr>
              <w:t>ESPECIFICAÇÃO</w:t>
            </w:r>
          </w:p>
        </w:tc>
        <w:tc>
          <w:tcPr>
            <w:tcW w:w="709" w:type="dxa"/>
            <w:shd w:val="clear" w:color="auto" w:fill="A6A6A6"/>
            <w:vAlign w:val="center"/>
          </w:tcPr>
          <w:p>
            <w:pPr>
              <w:widowControl w:val="0"/>
              <w:suppressAutoHyphens/>
              <w:spacing w:after="120" w:line="276" w:lineRule="auto"/>
              <w:ind w:left="-106"/>
              <w:jc w:val="right"/>
              <w:rPr>
                <w:rFonts w:cs="Arial"/>
                <w:sz w:val="18"/>
                <w:szCs w:val="18"/>
              </w:rPr>
            </w:pPr>
            <w:r>
              <w:rPr>
                <w:rFonts w:cs="Arial"/>
                <w:sz w:val="18"/>
                <w:szCs w:val="18"/>
              </w:rPr>
              <w:t>UNID</w:t>
            </w:r>
          </w:p>
        </w:tc>
        <w:tc>
          <w:tcPr>
            <w:tcW w:w="851" w:type="dxa"/>
            <w:shd w:val="clear" w:color="auto" w:fill="A6A6A6"/>
            <w:vAlign w:val="center"/>
          </w:tcPr>
          <w:p>
            <w:pPr>
              <w:widowControl w:val="0"/>
              <w:suppressAutoHyphens/>
              <w:spacing w:after="120" w:line="276" w:lineRule="auto"/>
              <w:jc w:val="center"/>
              <w:rPr>
                <w:rFonts w:cs="Arial"/>
                <w:color w:val="000000"/>
                <w:sz w:val="18"/>
                <w:szCs w:val="18"/>
              </w:rPr>
            </w:pPr>
            <w:r>
              <w:rPr>
                <w:rFonts w:cs="Arial"/>
                <w:color w:val="000000"/>
                <w:sz w:val="18"/>
                <w:szCs w:val="18"/>
              </w:rPr>
              <w:t>QUANT</w:t>
            </w:r>
          </w:p>
        </w:tc>
        <w:tc>
          <w:tcPr>
            <w:tcW w:w="1417" w:type="dxa"/>
            <w:shd w:val="clear" w:color="auto" w:fill="A6A6A6"/>
            <w:vAlign w:val="center"/>
          </w:tcPr>
          <w:p>
            <w:pPr>
              <w:jc w:val="center"/>
              <w:rPr>
                <w:rFonts w:cs="Arial"/>
                <w:b/>
                <w:bCs/>
                <w:i/>
                <w:iCs/>
                <w:sz w:val="18"/>
                <w:szCs w:val="18"/>
              </w:rPr>
            </w:pPr>
            <w:r>
              <w:rPr>
                <w:rFonts w:cs="Arial"/>
                <w:b/>
                <w:bCs/>
                <w:i/>
                <w:iCs/>
                <w:sz w:val="18"/>
                <w:szCs w:val="18"/>
              </w:rPr>
              <w:t>VALOR UNIT</w:t>
            </w:r>
          </w:p>
          <w:p>
            <w:pPr>
              <w:jc w:val="center"/>
              <w:rPr>
                <w:rFonts w:cs="Arial"/>
                <w:b/>
                <w:bCs/>
                <w:i/>
                <w:iCs/>
                <w:sz w:val="18"/>
                <w:szCs w:val="18"/>
              </w:rPr>
            </w:pPr>
            <w:r>
              <w:rPr>
                <w:rFonts w:cs="Arial"/>
                <w:b/>
                <w:bCs/>
                <w:i/>
                <w:iCs/>
                <w:sz w:val="18"/>
                <w:szCs w:val="18"/>
              </w:rPr>
              <w:t>ANUAL (R$/m²)</w:t>
            </w:r>
          </w:p>
          <w:p>
            <w:pPr>
              <w:jc w:val="center"/>
              <w:rPr>
                <w:rFonts w:cs="Arial"/>
                <w:b/>
                <w:bCs/>
                <w:i/>
                <w:iCs/>
                <w:sz w:val="18"/>
                <w:szCs w:val="18"/>
              </w:rPr>
            </w:pPr>
          </w:p>
        </w:tc>
        <w:tc>
          <w:tcPr>
            <w:tcW w:w="1276" w:type="dxa"/>
            <w:shd w:val="clear" w:color="auto" w:fill="A6A6A6"/>
            <w:vAlign w:val="center"/>
          </w:tcPr>
          <w:p>
            <w:pPr>
              <w:jc w:val="center"/>
              <w:rPr>
                <w:rFonts w:cs="Arial"/>
                <w:b/>
                <w:bCs/>
                <w:i/>
                <w:iCs/>
                <w:sz w:val="18"/>
                <w:szCs w:val="18"/>
              </w:rPr>
            </w:pPr>
            <w:r>
              <w:rPr>
                <w:rFonts w:cs="Arial"/>
                <w:b/>
                <w:bCs/>
                <w:i/>
                <w:iCs/>
                <w:sz w:val="18"/>
                <w:szCs w:val="18"/>
              </w:rPr>
              <w:t>VALOR</w:t>
            </w:r>
          </w:p>
          <w:p>
            <w:pPr>
              <w:jc w:val="center"/>
              <w:rPr>
                <w:rFonts w:cs="Arial"/>
                <w:b/>
                <w:bCs/>
                <w:i/>
                <w:iCs/>
                <w:sz w:val="18"/>
                <w:szCs w:val="18"/>
              </w:rPr>
            </w:pPr>
            <w:r>
              <w:rPr>
                <w:rFonts w:cs="Arial"/>
                <w:b/>
                <w:bCs/>
                <w:i/>
                <w:iCs/>
                <w:sz w:val="18"/>
                <w:szCs w:val="18"/>
              </w:rPr>
              <w:t xml:space="preserve">ANUAL </w:t>
            </w:r>
          </w:p>
          <w:p>
            <w:pPr>
              <w:jc w:val="center"/>
              <w:rPr>
                <w:rFonts w:cs="Arial"/>
                <w:b/>
                <w:bCs/>
                <w:i/>
                <w:iCs/>
                <w:sz w:val="18"/>
                <w:szCs w:val="18"/>
              </w:rPr>
            </w:pPr>
            <w:r>
              <w:rPr>
                <w:rFonts w:cs="Arial"/>
                <w:b/>
                <w:bCs/>
                <w:i/>
                <w:iCs/>
                <w:sz w:val="18"/>
                <w:szCs w:val="18"/>
              </w:rPr>
              <w:t>(R$)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3"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25</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Áreas Internas - 44 Horas Semanais Diurnas</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5.598</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30,18</w:t>
            </w:r>
          </w:p>
        </w:tc>
        <w:tc>
          <w:tcPr>
            <w:tcW w:w="1276" w:type="dxa"/>
            <w:vAlign w:val="center"/>
          </w:tcPr>
          <w:p>
            <w:pPr>
              <w:widowControl w:val="0"/>
              <w:suppressAutoHyphens/>
              <w:spacing w:after="120" w:line="276" w:lineRule="auto"/>
              <w:jc w:val="center"/>
              <w:rPr>
                <w:rFonts w:cs="Arial"/>
                <w:color w:val="000000"/>
                <w:sz w:val="18"/>
                <w:szCs w:val="18"/>
                <w:lang w:val="pt-BR"/>
              </w:rPr>
            </w:pPr>
            <w:r>
              <w:rPr>
                <w:rFonts w:hint="default" w:cs="Arial"/>
                <w:color w:val="000000"/>
                <w:sz w:val="18"/>
                <w:szCs w:val="18"/>
                <w:lang w:val="pt-BR"/>
              </w:rPr>
              <w:t>168.947,64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6"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26</w:t>
            </w:r>
          </w:p>
        </w:tc>
        <w:tc>
          <w:tcPr>
            <w:tcW w:w="2978" w:type="dxa"/>
            <w:vAlign w:val="center"/>
          </w:tcPr>
          <w:p>
            <w:pPr>
              <w:autoSpaceDE w:val="0"/>
              <w:autoSpaceDN w:val="0"/>
              <w:adjustRightInd w:val="0"/>
              <w:jc w:val="center"/>
              <w:rPr>
                <w:rFonts w:cs="Arial"/>
                <w:snapToGrid w:val="0"/>
                <w:sz w:val="18"/>
                <w:szCs w:val="18"/>
              </w:rPr>
            </w:pPr>
            <w:r>
              <w:rPr>
                <w:rFonts w:cs="Arial"/>
                <w:snapToGrid w:val="0"/>
                <w:sz w:val="18"/>
                <w:szCs w:val="18"/>
              </w:rPr>
              <w:t>Prestação de Serviço de Limpeza e Conservação - Áreas Externas - 44 Horas Semanais Diurnas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19.234</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2,12</w:t>
            </w:r>
          </w:p>
        </w:tc>
        <w:tc>
          <w:tcPr>
            <w:tcW w:w="1276" w:type="dxa"/>
            <w:vAlign w:val="center"/>
          </w:tcPr>
          <w:p>
            <w:pPr>
              <w:widowControl w:val="0"/>
              <w:suppressAutoHyphens/>
              <w:spacing w:after="120" w:line="276" w:lineRule="auto"/>
              <w:jc w:val="center"/>
              <w:rPr>
                <w:rFonts w:cs="Arial"/>
                <w:color w:val="000000"/>
                <w:sz w:val="18"/>
                <w:szCs w:val="18"/>
                <w:lang w:val="pt-BR"/>
              </w:rPr>
            </w:pPr>
            <w:r>
              <w:rPr>
                <w:rFonts w:hint="default" w:cs="Arial"/>
                <w:color w:val="000000"/>
                <w:sz w:val="18"/>
                <w:szCs w:val="18"/>
                <w:lang w:val="pt-BR"/>
              </w:rPr>
              <w:t>40.776,08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19"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27</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Esquadrias Externas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873</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3,69</w:t>
            </w:r>
          </w:p>
        </w:tc>
        <w:tc>
          <w:tcPr>
            <w:tcW w:w="1276" w:type="dxa"/>
            <w:vAlign w:val="center"/>
          </w:tcPr>
          <w:p>
            <w:pPr>
              <w:widowControl w:val="0"/>
              <w:suppressAutoHyphens/>
              <w:spacing w:after="120" w:line="276" w:lineRule="auto"/>
              <w:jc w:val="center"/>
              <w:rPr>
                <w:rFonts w:cs="Arial"/>
                <w:color w:val="000000"/>
                <w:sz w:val="18"/>
                <w:szCs w:val="18"/>
                <w:lang w:val="pt-BR"/>
              </w:rPr>
            </w:pPr>
            <w:r>
              <w:rPr>
                <w:rFonts w:hint="default" w:cs="Arial"/>
                <w:color w:val="000000"/>
                <w:sz w:val="18"/>
                <w:szCs w:val="18"/>
                <w:lang w:val="pt-BR"/>
              </w:rPr>
              <w:t>3.221,37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28</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 xml:space="preserve">Prestação de Serviço de Limpeza e Conservação - </w:t>
            </w:r>
            <w:r>
              <w:rPr>
                <w:rFonts w:cs="Arial"/>
                <w:snapToGrid w:val="0"/>
                <w:sz w:val="18"/>
                <w:szCs w:val="18"/>
                <w:lang w:val="pt-BR"/>
              </w:rPr>
              <w:t>Áreas Hospitaleres e assemelhada</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bCs/>
                <w:sz w:val="18"/>
                <w:szCs w:val="18"/>
                <w:lang w:val="pt-BR"/>
              </w:rPr>
            </w:pPr>
            <w:r>
              <w:rPr>
                <w:rFonts w:cs="Arial"/>
                <w:bCs/>
                <w:sz w:val="18"/>
                <w:szCs w:val="18"/>
                <w:lang w:val="pt-BR"/>
              </w:rPr>
              <w:t>63</w:t>
            </w:r>
          </w:p>
        </w:tc>
        <w:tc>
          <w:tcPr>
            <w:tcW w:w="1417" w:type="dxa"/>
            <w:vAlign w:val="bottom"/>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68,68</w:t>
            </w:r>
          </w:p>
        </w:tc>
        <w:tc>
          <w:tcPr>
            <w:tcW w:w="1276" w:type="dxa"/>
            <w:vAlign w:val="bottom"/>
          </w:tcPr>
          <w:p>
            <w:pPr>
              <w:widowControl w:val="0"/>
              <w:suppressAutoHyphens/>
              <w:spacing w:after="120" w:line="276" w:lineRule="auto"/>
              <w:jc w:val="center"/>
              <w:rPr>
                <w:rFonts w:ascii="Calibri" w:hAnsi="Calibri"/>
                <w:bCs/>
                <w:color w:val="000000"/>
                <w:sz w:val="22"/>
                <w:szCs w:val="22"/>
                <w:lang w:val="pt-BR"/>
              </w:rPr>
            </w:pPr>
            <w:r>
              <w:rPr>
                <w:rFonts w:hint="default" w:ascii="Calibri" w:hAnsi="Calibri"/>
                <w:bCs/>
                <w:color w:val="000000"/>
                <w:sz w:val="22"/>
                <w:szCs w:val="22"/>
                <w:lang w:val="pt-BR"/>
              </w:rPr>
              <w:t>4.326,84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29</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 xml:space="preserve">Material para o serviço de limpeza </w:t>
            </w:r>
            <w:r>
              <w:rPr>
                <w:rFonts w:cs="Arial"/>
                <w:sz w:val="18"/>
                <w:szCs w:val="18"/>
              </w:rPr>
              <w:t>(Anexo II)</w:t>
            </w:r>
          </w:p>
        </w:tc>
        <w:tc>
          <w:tcPr>
            <w:tcW w:w="709" w:type="dxa"/>
            <w:vAlign w:val="center"/>
          </w:tcPr>
          <w:p>
            <w:pPr>
              <w:widowControl w:val="0"/>
              <w:suppressAutoHyphens/>
              <w:spacing w:after="120" w:line="276" w:lineRule="auto"/>
              <w:ind w:left="34" w:leftChars="0"/>
              <w:jc w:val="center"/>
              <w:rPr>
                <w:rFonts w:cs="Arial"/>
                <w:color w:val="000000"/>
                <w:sz w:val="18"/>
                <w:szCs w:val="18"/>
              </w:rPr>
            </w:pPr>
            <w:r>
              <w:rPr>
                <w:rFonts w:cs="Arial"/>
                <w:color w:val="000000"/>
                <w:sz w:val="18"/>
                <w:szCs w:val="18"/>
              </w:rPr>
              <w:t>Forn.</w:t>
            </w:r>
          </w:p>
        </w:tc>
        <w:tc>
          <w:tcPr>
            <w:tcW w:w="851" w:type="dxa"/>
            <w:vAlign w:val="center"/>
          </w:tcPr>
          <w:p>
            <w:pPr>
              <w:widowControl w:val="0"/>
              <w:suppressAutoHyphens/>
              <w:spacing w:after="120" w:line="276" w:lineRule="auto"/>
              <w:jc w:val="center"/>
              <w:rPr>
                <w:rFonts w:cs="Arial"/>
                <w:bCs/>
                <w:sz w:val="18"/>
                <w:szCs w:val="18"/>
                <w:lang w:val="pt-BR"/>
              </w:rPr>
            </w:pPr>
            <w:r>
              <w:rPr>
                <w:rFonts w:cs="Arial"/>
                <w:bCs/>
                <w:sz w:val="18"/>
                <w:szCs w:val="18"/>
                <w:lang w:val="pt-BR"/>
              </w:rPr>
              <w:t>1</w:t>
            </w:r>
          </w:p>
        </w:tc>
        <w:tc>
          <w:tcPr>
            <w:tcW w:w="1417" w:type="dxa"/>
            <w:vAlign w:val="bottom"/>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50.761,03</w:t>
            </w:r>
          </w:p>
        </w:tc>
        <w:tc>
          <w:tcPr>
            <w:tcW w:w="1276" w:type="dxa"/>
            <w:vAlign w:val="bottom"/>
          </w:tcPr>
          <w:p>
            <w:pPr>
              <w:widowControl w:val="0"/>
              <w:suppressAutoHyphens/>
              <w:spacing w:after="120" w:line="276" w:lineRule="auto"/>
              <w:jc w:val="center"/>
              <w:rPr>
                <w:rFonts w:hint="default" w:ascii="Calibri" w:hAnsi="Calibri"/>
                <w:bCs/>
                <w:color w:val="000000"/>
                <w:sz w:val="22"/>
                <w:szCs w:val="22"/>
                <w:lang w:val="pt-BR"/>
              </w:rPr>
            </w:pPr>
            <w:r>
              <w:rPr>
                <w:rFonts w:ascii="Calibri" w:hAnsi="Calibri"/>
                <w:bCs/>
                <w:color w:val="000000"/>
                <w:sz w:val="22"/>
                <w:szCs w:val="22"/>
                <w:lang w:val="pt-BR"/>
              </w:rPr>
              <w:t>50.761,03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trPr>
        <w:tc>
          <w:tcPr>
            <w:tcW w:w="6663" w:type="dxa"/>
            <w:gridSpan w:val="5"/>
            <w:shd w:val="clear" w:color="auto" w:fill="A4A4A4" w:themeFill="background1" w:themeFillShade="A5"/>
            <w:vAlign w:val="center"/>
          </w:tcPr>
          <w:p>
            <w:pPr>
              <w:widowControl w:val="0"/>
              <w:suppressAutoHyphens/>
              <w:spacing w:after="120" w:line="276" w:lineRule="auto"/>
              <w:jc w:val="center"/>
              <w:rPr>
                <w:rFonts w:hint="default" w:cs="Arial"/>
                <w:color w:val="000000"/>
                <w:sz w:val="18"/>
                <w:szCs w:val="18"/>
                <w:highlight w:val="darkGray"/>
                <w:shd w:val="clear" w:color="auto" w:fill="auto"/>
              </w:rPr>
            </w:pPr>
            <w:r>
              <w:rPr>
                <w:rFonts w:cs="Arial"/>
                <w:color w:val="000000"/>
                <w:sz w:val="18"/>
                <w:szCs w:val="18"/>
                <w:highlight w:val="none"/>
                <w:shd w:val="clear" w:color="auto" w:fill="auto"/>
              </w:rPr>
              <w:t>Total</w:t>
            </w:r>
          </w:p>
        </w:tc>
        <w:tc>
          <w:tcPr>
            <w:tcW w:w="1276" w:type="dxa"/>
            <w:shd w:val="clear" w:color="auto" w:fill="A4A4A4" w:themeFill="background1" w:themeFillShade="A5"/>
            <w:vAlign w:val="bottom"/>
          </w:tcPr>
          <w:p>
            <w:pPr>
              <w:widowControl w:val="0"/>
              <w:suppressAutoHyphens/>
              <w:spacing w:after="120" w:line="276" w:lineRule="auto"/>
              <w:jc w:val="center"/>
              <w:rPr>
                <w:rFonts w:hint="default" w:ascii="Calibri" w:hAnsi="Calibri" w:eastAsia="SimSun" w:cs="Calibri"/>
                <w:i w:val="0"/>
                <w:color w:val="000000"/>
                <w:kern w:val="0"/>
                <w:sz w:val="22"/>
                <w:szCs w:val="22"/>
                <w:highlight w:val="darkGray"/>
                <w:u w:val="none"/>
                <w:shd w:val="clear" w:color="auto" w:fill="auto"/>
                <w:lang w:val="en-US" w:eastAsia="zh-CN" w:bidi="ar"/>
              </w:rPr>
            </w:pPr>
            <w:r>
              <w:rPr>
                <w:rFonts w:hint="default" w:cs="Arial"/>
                <w:color w:val="000000"/>
                <w:sz w:val="18"/>
                <w:szCs w:val="18"/>
                <w:highlight w:val="none"/>
                <w:shd w:val="clear" w:color="auto" w:fill="auto"/>
                <w:lang w:val="en-US" w:eastAsia="zh-CN"/>
              </w:rPr>
              <w:t>268</w:t>
            </w:r>
            <w:r>
              <w:rPr>
                <w:rFonts w:hint="default" w:cs="Arial"/>
                <w:color w:val="000000"/>
                <w:sz w:val="18"/>
                <w:szCs w:val="18"/>
                <w:highlight w:val="none"/>
                <w:shd w:val="clear" w:color="auto" w:fill="auto"/>
                <w:lang w:val="pt-BR" w:eastAsia="zh-CN"/>
              </w:rPr>
              <w:t>.</w:t>
            </w:r>
            <w:r>
              <w:rPr>
                <w:rFonts w:hint="default" w:cs="Arial"/>
                <w:color w:val="000000"/>
                <w:sz w:val="18"/>
                <w:szCs w:val="18"/>
                <w:highlight w:val="none"/>
                <w:shd w:val="clear" w:color="auto" w:fill="auto"/>
                <w:lang w:val="en-US" w:eastAsia="zh-CN"/>
              </w:rPr>
              <w:t>032,96</w:t>
            </w:r>
          </w:p>
        </w:tc>
      </w:tr>
    </w:tbl>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ind w:firstLine="500" w:firstLineChars="250"/>
        <w:jc w:val="center"/>
        <w:rPr>
          <w:b/>
          <w:bCs/>
          <w:lang w:val="pt-BR"/>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r>
        <w:rPr>
          <w:b/>
          <w:bCs/>
          <w:lang w:val="pt-BR"/>
        </w:rPr>
        <w:t>Grupo 8 -   IFS/Campus Nossa Senhora de Socorro</w:t>
      </w:r>
    </w:p>
    <w:p>
      <w:pPr>
        <w:ind w:firstLine="500" w:firstLineChars="250"/>
        <w:jc w:val="center"/>
        <w:rPr>
          <w:b/>
          <w:bCs/>
          <w:lang w:val="pt-BR"/>
        </w:rPr>
      </w:pPr>
    </w:p>
    <w:tbl>
      <w:tblPr>
        <w:tblStyle w:val="15"/>
        <w:tblpPr w:leftFromText="180" w:rightFromText="180" w:vertAnchor="text" w:horzAnchor="page" w:tblpX="2283" w:tblpY="41"/>
        <w:tblOverlap w:val="never"/>
        <w:tblW w:w="79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8"/>
        <w:gridCol w:w="2978"/>
        <w:gridCol w:w="709"/>
        <w:gridCol w:w="851"/>
        <w:gridCol w:w="1417"/>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shd w:val="clear" w:color="auto" w:fill="A6A6A6"/>
            <w:vAlign w:val="center"/>
          </w:tcPr>
          <w:p>
            <w:pPr>
              <w:widowControl w:val="0"/>
              <w:suppressAutoHyphens/>
              <w:spacing w:after="120" w:line="276" w:lineRule="auto"/>
              <w:jc w:val="center"/>
              <w:rPr>
                <w:rFonts w:cs="Arial"/>
                <w:color w:val="000000"/>
                <w:sz w:val="18"/>
                <w:szCs w:val="18"/>
              </w:rPr>
            </w:pPr>
            <w:r>
              <w:rPr>
                <w:rFonts w:cs="Arial"/>
                <w:bCs/>
                <w:color w:val="000000"/>
                <w:sz w:val="18"/>
                <w:szCs w:val="18"/>
              </w:rPr>
              <w:t>ITEM</w:t>
            </w:r>
          </w:p>
        </w:tc>
        <w:tc>
          <w:tcPr>
            <w:tcW w:w="2978" w:type="dxa"/>
            <w:shd w:val="clear" w:color="auto" w:fill="A6A6A6"/>
            <w:vAlign w:val="center"/>
          </w:tcPr>
          <w:p>
            <w:pPr>
              <w:spacing w:after="120" w:line="276" w:lineRule="auto"/>
              <w:jc w:val="center"/>
              <w:rPr>
                <w:rFonts w:cs="Arial"/>
                <w:bCs/>
                <w:color w:val="000000"/>
                <w:sz w:val="18"/>
                <w:szCs w:val="18"/>
              </w:rPr>
            </w:pPr>
            <w:r>
              <w:rPr>
                <w:rFonts w:cs="Arial"/>
                <w:bCs/>
                <w:color w:val="000000"/>
                <w:sz w:val="18"/>
                <w:szCs w:val="18"/>
              </w:rPr>
              <w:t>DESCRIÇÃO/</w:t>
            </w:r>
          </w:p>
          <w:p>
            <w:pPr>
              <w:spacing w:after="120" w:line="276" w:lineRule="auto"/>
              <w:jc w:val="center"/>
              <w:rPr>
                <w:rFonts w:cs="Arial"/>
                <w:color w:val="000000"/>
                <w:sz w:val="18"/>
                <w:szCs w:val="18"/>
              </w:rPr>
            </w:pPr>
            <w:r>
              <w:rPr>
                <w:rFonts w:cs="Arial"/>
                <w:bCs/>
                <w:color w:val="000000"/>
                <w:sz w:val="18"/>
                <w:szCs w:val="18"/>
              </w:rPr>
              <w:t>ESPECIFICAÇÃO</w:t>
            </w:r>
          </w:p>
        </w:tc>
        <w:tc>
          <w:tcPr>
            <w:tcW w:w="709" w:type="dxa"/>
            <w:shd w:val="clear" w:color="auto" w:fill="A6A6A6"/>
            <w:vAlign w:val="center"/>
          </w:tcPr>
          <w:p>
            <w:pPr>
              <w:widowControl w:val="0"/>
              <w:suppressAutoHyphens/>
              <w:spacing w:after="120" w:line="276" w:lineRule="auto"/>
              <w:ind w:left="-106"/>
              <w:jc w:val="right"/>
              <w:rPr>
                <w:rFonts w:cs="Arial"/>
                <w:sz w:val="18"/>
                <w:szCs w:val="18"/>
              </w:rPr>
            </w:pPr>
            <w:r>
              <w:rPr>
                <w:rFonts w:cs="Arial"/>
                <w:sz w:val="18"/>
                <w:szCs w:val="18"/>
              </w:rPr>
              <w:t>UNID</w:t>
            </w:r>
          </w:p>
        </w:tc>
        <w:tc>
          <w:tcPr>
            <w:tcW w:w="851" w:type="dxa"/>
            <w:shd w:val="clear" w:color="auto" w:fill="A6A6A6"/>
            <w:vAlign w:val="center"/>
          </w:tcPr>
          <w:p>
            <w:pPr>
              <w:widowControl w:val="0"/>
              <w:suppressAutoHyphens/>
              <w:spacing w:after="120" w:line="276" w:lineRule="auto"/>
              <w:jc w:val="center"/>
              <w:rPr>
                <w:rFonts w:cs="Arial"/>
                <w:color w:val="000000"/>
                <w:sz w:val="18"/>
                <w:szCs w:val="18"/>
              </w:rPr>
            </w:pPr>
            <w:r>
              <w:rPr>
                <w:rFonts w:cs="Arial"/>
                <w:color w:val="000000"/>
                <w:sz w:val="18"/>
                <w:szCs w:val="18"/>
              </w:rPr>
              <w:t>QUANT</w:t>
            </w:r>
          </w:p>
        </w:tc>
        <w:tc>
          <w:tcPr>
            <w:tcW w:w="1417" w:type="dxa"/>
            <w:shd w:val="clear" w:color="auto" w:fill="A6A6A6"/>
            <w:vAlign w:val="center"/>
          </w:tcPr>
          <w:p>
            <w:pPr>
              <w:jc w:val="center"/>
              <w:rPr>
                <w:rFonts w:cs="Arial"/>
                <w:b/>
                <w:bCs/>
                <w:i/>
                <w:iCs/>
                <w:sz w:val="18"/>
                <w:szCs w:val="18"/>
              </w:rPr>
            </w:pPr>
            <w:r>
              <w:rPr>
                <w:rFonts w:cs="Arial"/>
                <w:b/>
                <w:bCs/>
                <w:i/>
                <w:iCs/>
                <w:sz w:val="18"/>
                <w:szCs w:val="18"/>
              </w:rPr>
              <w:t>VALOR UNIT</w:t>
            </w:r>
          </w:p>
          <w:p>
            <w:pPr>
              <w:jc w:val="center"/>
              <w:rPr>
                <w:rFonts w:cs="Arial"/>
                <w:b/>
                <w:bCs/>
                <w:i/>
                <w:iCs/>
                <w:sz w:val="18"/>
                <w:szCs w:val="18"/>
              </w:rPr>
            </w:pPr>
            <w:r>
              <w:rPr>
                <w:rFonts w:cs="Arial"/>
                <w:b/>
                <w:bCs/>
                <w:i/>
                <w:iCs/>
                <w:sz w:val="18"/>
                <w:szCs w:val="18"/>
              </w:rPr>
              <w:t>ANUAL (R$/m²)</w:t>
            </w:r>
          </w:p>
          <w:p>
            <w:pPr>
              <w:jc w:val="center"/>
              <w:rPr>
                <w:rFonts w:cs="Arial"/>
                <w:b/>
                <w:bCs/>
                <w:i/>
                <w:iCs/>
                <w:sz w:val="18"/>
                <w:szCs w:val="18"/>
              </w:rPr>
            </w:pPr>
          </w:p>
        </w:tc>
        <w:tc>
          <w:tcPr>
            <w:tcW w:w="1276" w:type="dxa"/>
            <w:shd w:val="clear" w:color="auto" w:fill="A6A6A6"/>
            <w:vAlign w:val="center"/>
          </w:tcPr>
          <w:p>
            <w:pPr>
              <w:jc w:val="center"/>
              <w:rPr>
                <w:rFonts w:cs="Arial"/>
                <w:b/>
                <w:bCs/>
                <w:i/>
                <w:iCs/>
                <w:sz w:val="18"/>
                <w:szCs w:val="18"/>
              </w:rPr>
            </w:pPr>
            <w:r>
              <w:rPr>
                <w:rFonts w:cs="Arial"/>
                <w:b/>
                <w:bCs/>
                <w:i/>
                <w:iCs/>
                <w:sz w:val="18"/>
                <w:szCs w:val="18"/>
              </w:rPr>
              <w:t>VALOR</w:t>
            </w:r>
          </w:p>
          <w:p>
            <w:pPr>
              <w:jc w:val="center"/>
              <w:rPr>
                <w:rFonts w:cs="Arial"/>
                <w:b/>
                <w:bCs/>
                <w:i/>
                <w:iCs/>
                <w:sz w:val="18"/>
                <w:szCs w:val="18"/>
              </w:rPr>
            </w:pPr>
            <w:r>
              <w:rPr>
                <w:rFonts w:cs="Arial"/>
                <w:b/>
                <w:bCs/>
                <w:i/>
                <w:iCs/>
                <w:sz w:val="18"/>
                <w:szCs w:val="18"/>
              </w:rPr>
              <w:t xml:space="preserve">ANUAL </w:t>
            </w:r>
          </w:p>
          <w:p>
            <w:pPr>
              <w:jc w:val="center"/>
              <w:rPr>
                <w:rFonts w:cs="Arial"/>
                <w:b/>
                <w:bCs/>
                <w:i/>
                <w:iCs/>
                <w:sz w:val="18"/>
                <w:szCs w:val="18"/>
              </w:rPr>
            </w:pPr>
            <w:r>
              <w:rPr>
                <w:rFonts w:cs="Arial"/>
                <w:b/>
                <w:bCs/>
                <w:i/>
                <w:iCs/>
                <w:sz w:val="18"/>
                <w:szCs w:val="18"/>
              </w:rPr>
              <w:t>(R$)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3"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30</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Áreas Internas - 44 Horas Semanais Diurnas</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2.727</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41,83</w:t>
            </w:r>
          </w:p>
        </w:tc>
        <w:tc>
          <w:tcPr>
            <w:tcW w:w="1276"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114.070,41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6"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31</w:t>
            </w:r>
          </w:p>
        </w:tc>
        <w:tc>
          <w:tcPr>
            <w:tcW w:w="2978" w:type="dxa"/>
            <w:vAlign w:val="center"/>
          </w:tcPr>
          <w:p>
            <w:pPr>
              <w:autoSpaceDE w:val="0"/>
              <w:autoSpaceDN w:val="0"/>
              <w:adjustRightInd w:val="0"/>
              <w:jc w:val="center"/>
              <w:rPr>
                <w:rFonts w:cs="Arial"/>
                <w:snapToGrid w:val="0"/>
                <w:sz w:val="18"/>
                <w:szCs w:val="18"/>
              </w:rPr>
            </w:pPr>
            <w:r>
              <w:rPr>
                <w:rFonts w:cs="Arial"/>
                <w:snapToGrid w:val="0"/>
                <w:sz w:val="18"/>
                <w:szCs w:val="18"/>
              </w:rPr>
              <w:t>Prestação de Serviço de Limpeza e Conservação - Áreas Externas - 44 Horas Semanais Diurnas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5.155</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7,34</w:t>
            </w:r>
          </w:p>
        </w:tc>
        <w:tc>
          <w:tcPr>
            <w:tcW w:w="1276"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37.837,70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19"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32</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Esquadrias Externas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1.018</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10,69</w:t>
            </w:r>
          </w:p>
        </w:tc>
        <w:tc>
          <w:tcPr>
            <w:tcW w:w="1276"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10.882,42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6"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33</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 xml:space="preserve">Material para o serviço de limpeza </w:t>
            </w:r>
            <w:r>
              <w:rPr>
                <w:rFonts w:cs="Arial"/>
                <w:sz w:val="18"/>
                <w:szCs w:val="18"/>
              </w:rPr>
              <w:t>(Anexo II)</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Forn.</w:t>
            </w:r>
          </w:p>
        </w:tc>
        <w:tc>
          <w:tcPr>
            <w:tcW w:w="851" w:type="dxa"/>
            <w:vAlign w:val="center"/>
          </w:tcPr>
          <w:p>
            <w:pPr>
              <w:widowControl w:val="0"/>
              <w:suppressAutoHyphens/>
              <w:spacing w:after="120" w:line="276" w:lineRule="auto"/>
              <w:jc w:val="center"/>
              <w:rPr>
                <w:rFonts w:cs="Arial"/>
                <w:bCs/>
                <w:sz w:val="18"/>
                <w:szCs w:val="18"/>
                <w:lang w:val="pt-BR"/>
              </w:rPr>
            </w:pPr>
            <w:r>
              <w:rPr>
                <w:rFonts w:cs="Arial"/>
                <w:bCs/>
                <w:sz w:val="18"/>
                <w:szCs w:val="18"/>
                <w:lang w:val="pt-BR"/>
              </w:rPr>
              <w:t>1</w:t>
            </w:r>
          </w:p>
        </w:tc>
        <w:tc>
          <w:tcPr>
            <w:tcW w:w="1417" w:type="dxa"/>
            <w:vAlign w:val="bottom"/>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22.295,37</w:t>
            </w:r>
          </w:p>
        </w:tc>
        <w:tc>
          <w:tcPr>
            <w:tcW w:w="1276" w:type="dxa"/>
            <w:vAlign w:val="bottom"/>
          </w:tcPr>
          <w:p>
            <w:pPr>
              <w:widowControl w:val="0"/>
              <w:suppressAutoHyphens/>
              <w:spacing w:after="120" w:line="276" w:lineRule="auto"/>
              <w:jc w:val="center"/>
              <w:rPr>
                <w:rFonts w:ascii="Calibri" w:hAnsi="Calibri"/>
                <w:bCs/>
                <w:color w:val="000000"/>
                <w:sz w:val="22"/>
                <w:szCs w:val="22"/>
                <w:lang w:val="pt-BR"/>
              </w:rPr>
            </w:pPr>
            <w:r>
              <w:rPr>
                <w:rFonts w:ascii="Calibri" w:hAnsi="Calibri"/>
                <w:bCs/>
                <w:color w:val="000000"/>
                <w:sz w:val="22"/>
                <w:szCs w:val="22"/>
                <w:lang w:val="pt-BR"/>
              </w:rPr>
              <w:t>22.295,37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9" w:hRule="atLeast"/>
        </w:trPr>
        <w:tc>
          <w:tcPr>
            <w:tcW w:w="6663" w:type="dxa"/>
            <w:gridSpan w:val="5"/>
            <w:shd w:val="clear" w:color="auto" w:fill="A4A4A4" w:themeFill="background1" w:themeFillShade="A5"/>
            <w:vAlign w:val="center"/>
          </w:tcPr>
          <w:p>
            <w:pPr>
              <w:widowControl w:val="0"/>
              <w:suppressAutoHyphens/>
              <w:spacing w:after="120" w:line="276" w:lineRule="auto"/>
              <w:jc w:val="center"/>
              <w:rPr>
                <w:rFonts w:hint="default" w:cs="Arial"/>
                <w:color w:val="000000"/>
                <w:sz w:val="18"/>
                <w:szCs w:val="18"/>
                <w:highlight w:val="darkGray"/>
                <w:shd w:val="clear" w:color="auto" w:fill="auto"/>
              </w:rPr>
            </w:pPr>
            <w:r>
              <w:rPr>
                <w:rFonts w:cs="Arial"/>
                <w:color w:val="000000"/>
                <w:sz w:val="18"/>
                <w:szCs w:val="18"/>
                <w:highlight w:val="none"/>
                <w:shd w:val="clear" w:color="auto" w:fill="auto"/>
              </w:rPr>
              <w:t>Total</w:t>
            </w:r>
          </w:p>
        </w:tc>
        <w:tc>
          <w:tcPr>
            <w:tcW w:w="1276" w:type="dxa"/>
            <w:shd w:val="clear" w:color="auto" w:fill="A4A4A4" w:themeFill="background1" w:themeFillShade="A5"/>
            <w:vAlign w:val="bottom"/>
          </w:tcPr>
          <w:p>
            <w:pPr>
              <w:widowControl w:val="0"/>
              <w:suppressAutoHyphens/>
              <w:spacing w:after="120" w:line="276" w:lineRule="auto"/>
              <w:jc w:val="center"/>
              <w:rPr>
                <w:rFonts w:hint="default" w:ascii="Calibri" w:hAnsi="Calibri" w:eastAsia="SimSun" w:cs="Calibri"/>
                <w:i w:val="0"/>
                <w:color w:val="000000"/>
                <w:kern w:val="0"/>
                <w:sz w:val="22"/>
                <w:szCs w:val="22"/>
                <w:highlight w:val="darkGray"/>
                <w:u w:val="none"/>
                <w:shd w:val="clear" w:color="auto" w:fill="auto"/>
                <w:lang w:val="en-US" w:eastAsia="zh-CN" w:bidi="ar"/>
              </w:rPr>
            </w:pPr>
            <w:r>
              <w:rPr>
                <w:rFonts w:hint="default" w:cs="Arial"/>
                <w:color w:val="000000"/>
                <w:sz w:val="18"/>
                <w:szCs w:val="18"/>
                <w:highlight w:val="none"/>
                <w:shd w:val="clear" w:color="auto" w:fill="auto"/>
                <w:lang w:val="en-US" w:eastAsia="zh-CN"/>
              </w:rPr>
              <w:t>185</w:t>
            </w:r>
            <w:r>
              <w:rPr>
                <w:rFonts w:hint="default" w:cs="Arial"/>
                <w:color w:val="000000"/>
                <w:sz w:val="18"/>
                <w:szCs w:val="18"/>
                <w:highlight w:val="none"/>
                <w:shd w:val="clear" w:color="auto" w:fill="auto"/>
                <w:lang w:val="pt-BR" w:eastAsia="zh-CN"/>
              </w:rPr>
              <w:t>.</w:t>
            </w:r>
            <w:r>
              <w:rPr>
                <w:rFonts w:hint="default" w:cs="Arial"/>
                <w:color w:val="000000"/>
                <w:sz w:val="18"/>
                <w:szCs w:val="18"/>
                <w:highlight w:val="none"/>
                <w:shd w:val="clear" w:color="auto" w:fill="auto"/>
                <w:lang w:val="en-US" w:eastAsia="zh-CN"/>
              </w:rPr>
              <w:t>085,9</w:t>
            </w:r>
            <w:r>
              <w:rPr>
                <w:rFonts w:hint="default" w:cs="Arial"/>
                <w:color w:val="000000"/>
                <w:sz w:val="18"/>
                <w:szCs w:val="18"/>
                <w:highlight w:val="none"/>
                <w:shd w:val="clear" w:color="auto" w:fill="auto"/>
                <w:lang w:val="pt-BR" w:eastAsia="zh-CN"/>
              </w:rPr>
              <w:t>0</w:t>
            </w:r>
          </w:p>
        </w:tc>
      </w:tr>
    </w:tbl>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p>
    <w:p>
      <w:pPr>
        <w:ind w:firstLine="500" w:firstLineChars="250"/>
        <w:jc w:val="center"/>
        <w:rPr>
          <w:b/>
          <w:bCs/>
          <w:lang w:val="pt-BR"/>
        </w:rPr>
      </w:pPr>
      <w:r>
        <w:rPr>
          <w:b/>
          <w:bCs/>
          <w:lang w:val="pt-BR"/>
        </w:rPr>
        <w:t>Grupo 9 -  IFS/Campus Reitoria</w:t>
      </w:r>
    </w:p>
    <w:p>
      <w:pPr>
        <w:ind w:firstLine="500" w:firstLineChars="250"/>
        <w:jc w:val="center"/>
        <w:rPr>
          <w:b/>
          <w:bCs/>
          <w:lang w:val="pt-BR"/>
        </w:rPr>
      </w:pPr>
    </w:p>
    <w:tbl>
      <w:tblPr>
        <w:tblStyle w:val="15"/>
        <w:tblpPr w:leftFromText="180" w:rightFromText="180" w:vertAnchor="text" w:horzAnchor="page" w:tblpX="2253" w:tblpY="44"/>
        <w:tblOverlap w:val="never"/>
        <w:tblW w:w="79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8"/>
        <w:gridCol w:w="2978"/>
        <w:gridCol w:w="709"/>
        <w:gridCol w:w="851"/>
        <w:gridCol w:w="1417"/>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shd w:val="clear" w:color="auto" w:fill="A6A6A6"/>
            <w:vAlign w:val="center"/>
          </w:tcPr>
          <w:p>
            <w:pPr>
              <w:widowControl w:val="0"/>
              <w:suppressAutoHyphens/>
              <w:spacing w:after="120" w:line="276" w:lineRule="auto"/>
              <w:jc w:val="center"/>
              <w:rPr>
                <w:rFonts w:cs="Arial"/>
                <w:color w:val="000000"/>
                <w:sz w:val="18"/>
                <w:szCs w:val="18"/>
              </w:rPr>
            </w:pPr>
            <w:r>
              <w:rPr>
                <w:rFonts w:cs="Arial"/>
                <w:bCs/>
                <w:color w:val="000000"/>
                <w:sz w:val="18"/>
                <w:szCs w:val="18"/>
              </w:rPr>
              <w:t>TEM</w:t>
            </w:r>
          </w:p>
        </w:tc>
        <w:tc>
          <w:tcPr>
            <w:tcW w:w="2978" w:type="dxa"/>
            <w:shd w:val="clear" w:color="auto" w:fill="A6A6A6"/>
            <w:vAlign w:val="center"/>
          </w:tcPr>
          <w:p>
            <w:pPr>
              <w:spacing w:after="120" w:line="276" w:lineRule="auto"/>
              <w:jc w:val="center"/>
              <w:rPr>
                <w:rFonts w:cs="Arial"/>
                <w:bCs/>
                <w:color w:val="000000"/>
                <w:sz w:val="18"/>
                <w:szCs w:val="18"/>
              </w:rPr>
            </w:pPr>
            <w:r>
              <w:rPr>
                <w:rFonts w:cs="Arial"/>
                <w:bCs/>
                <w:color w:val="000000"/>
                <w:sz w:val="18"/>
                <w:szCs w:val="18"/>
              </w:rPr>
              <w:t>DESCRIÇÃO/</w:t>
            </w:r>
          </w:p>
          <w:p>
            <w:pPr>
              <w:spacing w:after="120" w:line="276" w:lineRule="auto"/>
              <w:jc w:val="center"/>
              <w:rPr>
                <w:rFonts w:cs="Arial"/>
                <w:color w:val="000000"/>
                <w:sz w:val="18"/>
                <w:szCs w:val="18"/>
              </w:rPr>
            </w:pPr>
            <w:r>
              <w:rPr>
                <w:rFonts w:cs="Arial"/>
                <w:bCs/>
                <w:color w:val="000000"/>
                <w:sz w:val="18"/>
                <w:szCs w:val="18"/>
              </w:rPr>
              <w:t>ESPECIFICAÇÃO</w:t>
            </w:r>
          </w:p>
        </w:tc>
        <w:tc>
          <w:tcPr>
            <w:tcW w:w="709" w:type="dxa"/>
            <w:shd w:val="clear" w:color="auto" w:fill="A6A6A6"/>
            <w:vAlign w:val="center"/>
          </w:tcPr>
          <w:p>
            <w:pPr>
              <w:widowControl w:val="0"/>
              <w:suppressAutoHyphens/>
              <w:spacing w:after="120" w:line="276" w:lineRule="auto"/>
              <w:ind w:left="-106"/>
              <w:jc w:val="right"/>
              <w:rPr>
                <w:rFonts w:cs="Arial"/>
                <w:sz w:val="18"/>
                <w:szCs w:val="18"/>
              </w:rPr>
            </w:pPr>
            <w:r>
              <w:rPr>
                <w:rFonts w:cs="Arial"/>
                <w:sz w:val="18"/>
                <w:szCs w:val="18"/>
              </w:rPr>
              <w:t>UNID</w:t>
            </w:r>
          </w:p>
        </w:tc>
        <w:tc>
          <w:tcPr>
            <w:tcW w:w="851" w:type="dxa"/>
            <w:shd w:val="clear" w:color="auto" w:fill="A6A6A6"/>
            <w:vAlign w:val="center"/>
          </w:tcPr>
          <w:p>
            <w:pPr>
              <w:widowControl w:val="0"/>
              <w:suppressAutoHyphens/>
              <w:spacing w:after="120" w:line="276" w:lineRule="auto"/>
              <w:jc w:val="center"/>
              <w:rPr>
                <w:rFonts w:cs="Arial"/>
                <w:b/>
                <w:bCs/>
                <w:color w:val="000000"/>
                <w:sz w:val="18"/>
                <w:szCs w:val="18"/>
              </w:rPr>
            </w:pPr>
            <w:r>
              <w:rPr>
                <w:rFonts w:cs="Arial"/>
                <w:color w:val="000000"/>
                <w:sz w:val="18"/>
                <w:szCs w:val="18"/>
              </w:rPr>
              <w:t>QUANT</w:t>
            </w:r>
          </w:p>
        </w:tc>
        <w:tc>
          <w:tcPr>
            <w:tcW w:w="1417" w:type="dxa"/>
            <w:shd w:val="clear" w:color="auto" w:fill="A6A6A6"/>
            <w:vAlign w:val="center"/>
          </w:tcPr>
          <w:p>
            <w:pPr>
              <w:jc w:val="center"/>
              <w:rPr>
                <w:rFonts w:cs="Arial"/>
                <w:b/>
                <w:bCs/>
                <w:i/>
                <w:iCs/>
                <w:sz w:val="18"/>
                <w:szCs w:val="18"/>
              </w:rPr>
            </w:pPr>
            <w:r>
              <w:rPr>
                <w:rFonts w:cs="Arial"/>
                <w:b/>
                <w:bCs/>
                <w:i/>
                <w:iCs/>
                <w:sz w:val="18"/>
                <w:szCs w:val="18"/>
              </w:rPr>
              <w:t>VALOR UNIT</w:t>
            </w:r>
          </w:p>
          <w:p>
            <w:pPr>
              <w:jc w:val="center"/>
              <w:rPr>
                <w:rFonts w:cs="Arial"/>
                <w:b/>
                <w:bCs/>
                <w:i/>
                <w:iCs/>
                <w:sz w:val="18"/>
                <w:szCs w:val="18"/>
              </w:rPr>
            </w:pPr>
            <w:r>
              <w:rPr>
                <w:rFonts w:cs="Arial"/>
                <w:b/>
                <w:bCs/>
                <w:i/>
                <w:iCs/>
                <w:sz w:val="18"/>
                <w:szCs w:val="18"/>
              </w:rPr>
              <w:t>ANUAL (R$/m²)</w:t>
            </w:r>
          </w:p>
          <w:p>
            <w:pPr>
              <w:jc w:val="center"/>
              <w:rPr>
                <w:rFonts w:cs="Arial"/>
                <w:b/>
                <w:bCs/>
                <w:i/>
                <w:iCs/>
                <w:sz w:val="18"/>
                <w:szCs w:val="18"/>
              </w:rPr>
            </w:pPr>
          </w:p>
        </w:tc>
        <w:tc>
          <w:tcPr>
            <w:tcW w:w="1276" w:type="dxa"/>
            <w:shd w:val="clear" w:color="auto" w:fill="A6A6A6"/>
            <w:vAlign w:val="center"/>
          </w:tcPr>
          <w:p>
            <w:pPr>
              <w:jc w:val="center"/>
              <w:rPr>
                <w:rFonts w:cs="Arial"/>
                <w:b/>
                <w:bCs/>
                <w:i/>
                <w:iCs/>
                <w:sz w:val="18"/>
                <w:szCs w:val="18"/>
              </w:rPr>
            </w:pPr>
            <w:r>
              <w:rPr>
                <w:rFonts w:cs="Arial"/>
                <w:b/>
                <w:bCs/>
                <w:i/>
                <w:iCs/>
                <w:sz w:val="18"/>
                <w:szCs w:val="18"/>
              </w:rPr>
              <w:t>VALOR</w:t>
            </w:r>
          </w:p>
          <w:p>
            <w:pPr>
              <w:jc w:val="center"/>
              <w:rPr>
                <w:rFonts w:cs="Arial"/>
                <w:b/>
                <w:bCs/>
                <w:i/>
                <w:iCs/>
                <w:sz w:val="18"/>
                <w:szCs w:val="18"/>
              </w:rPr>
            </w:pPr>
            <w:r>
              <w:rPr>
                <w:rFonts w:cs="Arial"/>
                <w:b/>
                <w:bCs/>
                <w:i/>
                <w:iCs/>
                <w:sz w:val="18"/>
                <w:szCs w:val="18"/>
              </w:rPr>
              <w:t xml:space="preserve">ANUAL </w:t>
            </w:r>
          </w:p>
          <w:p>
            <w:pPr>
              <w:jc w:val="center"/>
              <w:rPr>
                <w:rFonts w:cs="Arial"/>
                <w:b/>
                <w:bCs/>
                <w:i/>
                <w:iCs/>
                <w:sz w:val="18"/>
                <w:szCs w:val="18"/>
              </w:rPr>
            </w:pPr>
            <w:r>
              <w:rPr>
                <w:rFonts w:cs="Arial"/>
                <w:b/>
                <w:bCs/>
                <w:i/>
                <w:iCs/>
                <w:sz w:val="18"/>
                <w:szCs w:val="18"/>
              </w:rPr>
              <w:t>(R$)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3"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34</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Áreas Internas - 44 Horas Semanais Diurnas</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both"/>
              <w:rPr>
                <w:rFonts w:cs="Arial"/>
                <w:sz w:val="18"/>
                <w:szCs w:val="18"/>
                <w:lang w:val="pt-BR"/>
              </w:rPr>
            </w:pPr>
            <w:r>
              <w:rPr>
                <w:rFonts w:cs="Arial"/>
                <w:sz w:val="18"/>
                <w:szCs w:val="18"/>
                <w:lang w:val="pt-BR"/>
              </w:rPr>
              <w:t>3.825</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43,47</w:t>
            </w:r>
          </w:p>
        </w:tc>
        <w:tc>
          <w:tcPr>
            <w:tcW w:w="1276" w:type="dxa"/>
            <w:vAlign w:val="center"/>
          </w:tcPr>
          <w:p>
            <w:pPr>
              <w:widowControl w:val="0"/>
              <w:suppressAutoHyphens/>
              <w:spacing w:after="120" w:line="276" w:lineRule="auto"/>
              <w:jc w:val="center"/>
              <w:rPr>
                <w:rFonts w:cs="Arial"/>
                <w:color w:val="000000"/>
                <w:sz w:val="18"/>
                <w:szCs w:val="18"/>
              </w:rPr>
            </w:pPr>
            <w:r>
              <w:rPr>
                <w:rFonts w:hint="default" w:cs="Arial"/>
                <w:color w:val="000000"/>
                <w:sz w:val="18"/>
                <w:szCs w:val="18"/>
              </w:rPr>
              <w:t>166</w:t>
            </w:r>
            <w:r>
              <w:rPr>
                <w:rFonts w:hint="default" w:cs="Arial"/>
                <w:color w:val="000000"/>
                <w:sz w:val="18"/>
                <w:szCs w:val="18"/>
                <w:lang w:val="pt-BR"/>
              </w:rPr>
              <w:t>.</w:t>
            </w:r>
            <w:r>
              <w:rPr>
                <w:rFonts w:hint="default" w:cs="Arial"/>
                <w:color w:val="000000"/>
                <w:sz w:val="18"/>
                <w:szCs w:val="18"/>
              </w:rPr>
              <w:t>272,75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6"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35</w:t>
            </w:r>
          </w:p>
        </w:tc>
        <w:tc>
          <w:tcPr>
            <w:tcW w:w="2978" w:type="dxa"/>
            <w:vAlign w:val="center"/>
          </w:tcPr>
          <w:p>
            <w:pPr>
              <w:autoSpaceDE w:val="0"/>
              <w:autoSpaceDN w:val="0"/>
              <w:adjustRightInd w:val="0"/>
              <w:jc w:val="center"/>
              <w:rPr>
                <w:rFonts w:cs="Arial"/>
                <w:snapToGrid w:val="0"/>
                <w:sz w:val="18"/>
                <w:szCs w:val="18"/>
              </w:rPr>
            </w:pPr>
            <w:r>
              <w:rPr>
                <w:rFonts w:cs="Arial"/>
                <w:snapToGrid w:val="0"/>
                <w:sz w:val="18"/>
                <w:szCs w:val="18"/>
              </w:rPr>
              <w:t>Prestação de Serviço de Limpeza e Conservação - Áreas Externas - 44 Horas Semanais Diurnas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2.876</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20,78</w:t>
            </w:r>
          </w:p>
        </w:tc>
        <w:tc>
          <w:tcPr>
            <w:tcW w:w="1276" w:type="dxa"/>
            <w:vAlign w:val="center"/>
          </w:tcPr>
          <w:p>
            <w:pPr>
              <w:widowControl w:val="0"/>
              <w:suppressAutoHyphens/>
              <w:spacing w:after="120" w:line="276" w:lineRule="auto"/>
              <w:jc w:val="center"/>
              <w:rPr>
                <w:rFonts w:cs="Arial"/>
                <w:color w:val="000000"/>
                <w:sz w:val="18"/>
                <w:szCs w:val="18"/>
              </w:rPr>
            </w:pPr>
            <w:r>
              <w:rPr>
                <w:rFonts w:hint="default" w:cs="Arial"/>
                <w:color w:val="000000"/>
                <w:sz w:val="18"/>
                <w:szCs w:val="18"/>
              </w:rPr>
              <w:t>59</w:t>
            </w:r>
            <w:r>
              <w:rPr>
                <w:rFonts w:hint="default" w:cs="Arial"/>
                <w:color w:val="000000"/>
                <w:sz w:val="18"/>
                <w:szCs w:val="18"/>
                <w:lang w:val="pt-BR"/>
              </w:rPr>
              <w:t>.</w:t>
            </w:r>
            <w:r>
              <w:rPr>
                <w:rFonts w:hint="default" w:cs="Arial"/>
                <w:color w:val="000000"/>
                <w:sz w:val="18"/>
                <w:szCs w:val="18"/>
              </w:rPr>
              <w:t>763,28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36</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Prestação de Serviço de Limpeza e Conservação - Esquadrias Externas</w:t>
            </w:r>
          </w:p>
        </w:tc>
        <w:tc>
          <w:tcPr>
            <w:tcW w:w="709" w:type="dxa"/>
            <w:vAlign w:val="center"/>
          </w:tcPr>
          <w:p>
            <w:pPr>
              <w:widowControl w:val="0"/>
              <w:suppressAutoHyphens/>
              <w:spacing w:after="120" w:line="276" w:lineRule="auto"/>
              <w:ind w:left="34"/>
              <w:jc w:val="center"/>
              <w:rPr>
                <w:rFonts w:cs="Arial"/>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886</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11,43</w:t>
            </w:r>
          </w:p>
        </w:tc>
        <w:tc>
          <w:tcPr>
            <w:tcW w:w="1276" w:type="dxa"/>
            <w:vAlign w:val="center"/>
          </w:tcPr>
          <w:p>
            <w:pPr>
              <w:widowControl w:val="0"/>
              <w:suppressAutoHyphens/>
              <w:spacing w:after="120" w:line="276" w:lineRule="auto"/>
              <w:jc w:val="center"/>
              <w:rPr>
                <w:rFonts w:cs="Arial"/>
                <w:color w:val="000000"/>
                <w:sz w:val="18"/>
                <w:szCs w:val="18"/>
              </w:rPr>
            </w:pPr>
            <w:r>
              <w:rPr>
                <w:rFonts w:hint="default" w:cs="Arial"/>
                <w:color w:val="000000"/>
                <w:sz w:val="18"/>
                <w:szCs w:val="18"/>
              </w:rPr>
              <w:t>10</w:t>
            </w:r>
            <w:r>
              <w:rPr>
                <w:rFonts w:hint="default" w:cs="Arial"/>
                <w:color w:val="000000"/>
                <w:sz w:val="18"/>
                <w:szCs w:val="18"/>
                <w:lang w:val="pt-BR"/>
              </w:rPr>
              <w:t>.</w:t>
            </w:r>
            <w:r>
              <w:rPr>
                <w:rFonts w:hint="default" w:cs="Arial"/>
                <w:color w:val="000000"/>
                <w:sz w:val="18"/>
                <w:szCs w:val="18"/>
              </w:rPr>
              <w:t>126,98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4"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37</w:t>
            </w:r>
          </w:p>
        </w:tc>
        <w:tc>
          <w:tcPr>
            <w:tcW w:w="2978" w:type="dxa"/>
            <w:vAlign w:val="center"/>
          </w:tcPr>
          <w:p>
            <w:pPr>
              <w:widowControl w:val="0"/>
              <w:suppressAutoHyphens/>
              <w:spacing w:after="120" w:line="276" w:lineRule="auto"/>
              <w:jc w:val="center"/>
              <w:rPr>
                <w:rFonts w:cs="Arial"/>
                <w:snapToGrid w:val="0"/>
                <w:sz w:val="18"/>
                <w:szCs w:val="18"/>
                <w:lang w:val="pt-BR"/>
              </w:rPr>
            </w:pPr>
            <w:r>
              <w:rPr>
                <w:rFonts w:cs="Arial"/>
                <w:snapToGrid w:val="0"/>
                <w:sz w:val="18"/>
                <w:szCs w:val="18"/>
              </w:rPr>
              <w:t xml:space="preserve">Prestação de Serviço de Limpeza e Conservação - </w:t>
            </w:r>
            <w:r>
              <w:rPr>
                <w:rFonts w:cs="Arial"/>
                <w:snapToGrid w:val="0"/>
                <w:sz w:val="18"/>
                <w:szCs w:val="18"/>
                <w:lang w:val="pt-BR"/>
              </w:rPr>
              <w:t>Fachadas Envidraçadas</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M²</w:t>
            </w:r>
          </w:p>
        </w:tc>
        <w:tc>
          <w:tcPr>
            <w:tcW w:w="851" w:type="dxa"/>
            <w:vAlign w:val="center"/>
          </w:tcPr>
          <w:p>
            <w:pPr>
              <w:widowControl w:val="0"/>
              <w:suppressAutoHyphens/>
              <w:spacing w:after="120" w:line="276" w:lineRule="auto"/>
              <w:jc w:val="center"/>
              <w:rPr>
                <w:rFonts w:cs="Arial"/>
                <w:sz w:val="18"/>
                <w:szCs w:val="18"/>
                <w:lang w:val="pt-BR"/>
              </w:rPr>
            </w:pPr>
            <w:r>
              <w:rPr>
                <w:rFonts w:cs="Arial"/>
                <w:sz w:val="18"/>
                <w:szCs w:val="18"/>
                <w:lang w:val="pt-BR"/>
              </w:rPr>
              <w:t>195</w:t>
            </w:r>
          </w:p>
        </w:tc>
        <w:tc>
          <w:tcPr>
            <w:tcW w:w="1417" w:type="dxa"/>
            <w:vAlign w:val="center"/>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28,13</w:t>
            </w:r>
          </w:p>
        </w:tc>
        <w:tc>
          <w:tcPr>
            <w:tcW w:w="1276" w:type="dxa"/>
            <w:vAlign w:val="center"/>
          </w:tcPr>
          <w:p>
            <w:pPr>
              <w:widowControl w:val="0"/>
              <w:suppressAutoHyphens/>
              <w:spacing w:after="120" w:line="276" w:lineRule="auto"/>
              <w:jc w:val="center"/>
              <w:rPr>
                <w:rFonts w:hint="default" w:cs="Arial"/>
                <w:color w:val="000000"/>
                <w:sz w:val="18"/>
                <w:szCs w:val="18"/>
              </w:rPr>
            </w:pPr>
            <w:r>
              <w:rPr>
                <w:rFonts w:hint="default" w:cs="Arial"/>
                <w:color w:val="000000"/>
                <w:sz w:val="18"/>
                <w:szCs w:val="18"/>
              </w:rPr>
              <w:t>5</w:t>
            </w:r>
            <w:r>
              <w:rPr>
                <w:rFonts w:hint="default" w:cs="Arial"/>
                <w:color w:val="000000"/>
                <w:sz w:val="18"/>
                <w:szCs w:val="18"/>
                <w:lang w:val="pt-BR"/>
              </w:rPr>
              <w:t>.</w:t>
            </w:r>
            <w:r>
              <w:rPr>
                <w:rFonts w:hint="default" w:cs="Arial"/>
                <w:color w:val="000000"/>
                <w:sz w:val="18"/>
                <w:szCs w:val="18"/>
              </w:rPr>
              <w:t>485,35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trPr>
        <w:tc>
          <w:tcPr>
            <w:tcW w:w="708" w:type="dxa"/>
            <w:vAlign w:val="center"/>
          </w:tcPr>
          <w:p>
            <w:pPr>
              <w:widowControl w:val="0"/>
              <w:suppressAutoHyphens/>
              <w:spacing w:after="120" w:line="276" w:lineRule="auto"/>
              <w:jc w:val="center"/>
              <w:rPr>
                <w:rFonts w:cs="Arial"/>
                <w:color w:val="000000"/>
                <w:sz w:val="18"/>
                <w:szCs w:val="18"/>
                <w:lang w:val="pt-BR"/>
              </w:rPr>
            </w:pPr>
            <w:r>
              <w:rPr>
                <w:rFonts w:cs="Arial"/>
                <w:color w:val="000000"/>
                <w:sz w:val="18"/>
                <w:szCs w:val="18"/>
                <w:lang w:val="pt-BR"/>
              </w:rPr>
              <w:t>38</w:t>
            </w:r>
          </w:p>
        </w:tc>
        <w:tc>
          <w:tcPr>
            <w:tcW w:w="2978" w:type="dxa"/>
            <w:vAlign w:val="center"/>
          </w:tcPr>
          <w:p>
            <w:pPr>
              <w:widowControl w:val="0"/>
              <w:suppressAutoHyphens/>
              <w:spacing w:after="120" w:line="276" w:lineRule="auto"/>
              <w:jc w:val="center"/>
              <w:rPr>
                <w:rFonts w:cs="Arial"/>
                <w:snapToGrid w:val="0"/>
                <w:sz w:val="18"/>
                <w:szCs w:val="18"/>
              </w:rPr>
            </w:pPr>
            <w:r>
              <w:rPr>
                <w:rFonts w:cs="Arial"/>
                <w:snapToGrid w:val="0"/>
                <w:sz w:val="18"/>
                <w:szCs w:val="18"/>
              </w:rPr>
              <w:t xml:space="preserve">Material para o serviço de limpeza </w:t>
            </w:r>
            <w:r>
              <w:rPr>
                <w:rFonts w:cs="Arial"/>
                <w:sz w:val="18"/>
                <w:szCs w:val="18"/>
              </w:rPr>
              <w:t>(Anexo II)</w:t>
            </w:r>
          </w:p>
        </w:tc>
        <w:tc>
          <w:tcPr>
            <w:tcW w:w="709" w:type="dxa"/>
            <w:vAlign w:val="center"/>
          </w:tcPr>
          <w:p>
            <w:pPr>
              <w:widowControl w:val="0"/>
              <w:suppressAutoHyphens/>
              <w:spacing w:after="120" w:line="276" w:lineRule="auto"/>
              <w:ind w:left="34"/>
              <w:jc w:val="center"/>
              <w:rPr>
                <w:rFonts w:cs="Arial"/>
                <w:color w:val="000000"/>
                <w:sz w:val="18"/>
                <w:szCs w:val="18"/>
              </w:rPr>
            </w:pPr>
            <w:r>
              <w:rPr>
                <w:rFonts w:cs="Arial"/>
                <w:color w:val="000000"/>
                <w:sz w:val="18"/>
                <w:szCs w:val="18"/>
              </w:rPr>
              <w:t>Forn.</w:t>
            </w:r>
          </w:p>
        </w:tc>
        <w:tc>
          <w:tcPr>
            <w:tcW w:w="851" w:type="dxa"/>
            <w:vAlign w:val="center"/>
          </w:tcPr>
          <w:p>
            <w:pPr>
              <w:widowControl w:val="0"/>
              <w:suppressAutoHyphens/>
              <w:spacing w:after="120" w:line="276" w:lineRule="auto"/>
              <w:jc w:val="center"/>
              <w:rPr>
                <w:rFonts w:cs="Arial"/>
                <w:bCs/>
                <w:sz w:val="18"/>
                <w:szCs w:val="18"/>
                <w:lang w:val="pt-BR"/>
              </w:rPr>
            </w:pPr>
            <w:r>
              <w:rPr>
                <w:rFonts w:cs="Arial"/>
                <w:bCs/>
                <w:sz w:val="18"/>
                <w:szCs w:val="18"/>
                <w:lang w:val="pt-BR"/>
              </w:rPr>
              <w:t>1</w:t>
            </w:r>
          </w:p>
        </w:tc>
        <w:tc>
          <w:tcPr>
            <w:tcW w:w="1417" w:type="dxa"/>
            <w:vAlign w:val="bottom"/>
          </w:tcPr>
          <w:p>
            <w:pPr>
              <w:widowControl w:val="0"/>
              <w:suppressAutoHyphens/>
              <w:spacing w:after="120" w:line="276" w:lineRule="auto"/>
              <w:jc w:val="center"/>
              <w:rPr>
                <w:rFonts w:hint="default" w:cs="Arial"/>
                <w:color w:val="000000"/>
                <w:sz w:val="18"/>
                <w:szCs w:val="18"/>
                <w:lang w:val="pt-BR"/>
              </w:rPr>
            </w:pPr>
            <w:r>
              <w:rPr>
                <w:rFonts w:hint="default" w:cs="Arial"/>
                <w:color w:val="000000"/>
                <w:sz w:val="18"/>
                <w:szCs w:val="18"/>
                <w:lang w:val="pt-BR"/>
              </w:rPr>
              <w:t>47.144,01</w:t>
            </w:r>
          </w:p>
        </w:tc>
        <w:tc>
          <w:tcPr>
            <w:tcW w:w="1276" w:type="dxa"/>
            <w:vAlign w:val="bottom"/>
          </w:tcPr>
          <w:p>
            <w:pPr>
              <w:widowControl w:val="0"/>
              <w:suppressAutoHyphens/>
              <w:spacing w:after="120" w:line="276" w:lineRule="auto"/>
              <w:jc w:val="center"/>
              <w:rPr>
                <w:rFonts w:ascii="Calibri" w:hAnsi="Calibri"/>
                <w:bCs/>
                <w:color w:val="000000"/>
                <w:sz w:val="22"/>
                <w:szCs w:val="22"/>
                <w:lang w:val="pt-BR"/>
              </w:rPr>
            </w:pPr>
            <w:r>
              <w:rPr>
                <w:rFonts w:ascii="Calibri" w:hAnsi="Calibri"/>
                <w:bCs/>
                <w:color w:val="000000"/>
                <w:sz w:val="22"/>
                <w:szCs w:val="22"/>
                <w:lang w:val="pt-BR"/>
              </w:rPr>
              <w:t>47.144,01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20" w:hRule="atLeast"/>
        </w:trPr>
        <w:tc>
          <w:tcPr>
            <w:tcW w:w="6663" w:type="dxa"/>
            <w:gridSpan w:val="5"/>
            <w:shd w:val="clear" w:color="auto" w:fill="A4A4A4" w:themeFill="background1" w:themeFillShade="A5"/>
            <w:vAlign w:val="center"/>
          </w:tcPr>
          <w:p>
            <w:pPr>
              <w:widowControl w:val="0"/>
              <w:suppressAutoHyphens/>
              <w:spacing w:after="120" w:line="276" w:lineRule="auto"/>
              <w:jc w:val="center"/>
              <w:rPr>
                <w:rFonts w:hint="default" w:cs="Arial"/>
                <w:color w:val="000000"/>
                <w:sz w:val="18"/>
                <w:szCs w:val="18"/>
                <w:highlight w:val="darkGray"/>
                <w:shd w:val="clear" w:color="auto" w:fill="auto"/>
              </w:rPr>
            </w:pPr>
            <w:r>
              <w:rPr>
                <w:rFonts w:cs="Arial"/>
                <w:color w:val="000000"/>
                <w:sz w:val="18"/>
                <w:szCs w:val="18"/>
                <w:highlight w:val="none"/>
                <w:shd w:val="clear" w:color="auto" w:fill="auto"/>
              </w:rPr>
              <w:t>Total</w:t>
            </w:r>
          </w:p>
        </w:tc>
        <w:tc>
          <w:tcPr>
            <w:tcW w:w="1276" w:type="dxa"/>
            <w:shd w:val="clear" w:color="auto" w:fill="A4A4A4" w:themeFill="background1" w:themeFillShade="A5"/>
            <w:vAlign w:val="bottom"/>
          </w:tcPr>
          <w:p>
            <w:pPr>
              <w:widowControl w:val="0"/>
              <w:suppressAutoHyphens/>
              <w:spacing w:after="120" w:line="276" w:lineRule="auto"/>
              <w:jc w:val="center"/>
              <w:rPr>
                <w:rFonts w:hint="default" w:cs="Arial"/>
                <w:color w:val="000000"/>
                <w:sz w:val="18"/>
                <w:szCs w:val="18"/>
                <w:highlight w:val="none"/>
                <w:shd w:val="clear" w:color="auto" w:fill="auto"/>
                <w:lang w:val="en-US" w:eastAsia="zh-CN"/>
              </w:rPr>
            </w:pPr>
            <w:r>
              <w:rPr>
                <w:rFonts w:hint="default" w:cs="Arial"/>
                <w:color w:val="000000"/>
                <w:sz w:val="18"/>
                <w:szCs w:val="18"/>
                <w:highlight w:val="none"/>
                <w:shd w:val="clear" w:color="auto" w:fill="auto"/>
                <w:lang w:val="en-US" w:eastAsia="zh-CN"/>
              </w:rPr>
              <w:t>288</w:t>
            </w:r>
            <w:r>
              <w:rPr>
                <w:rFonts w:hint="default" w:cs="Arial"/>
                <w:color w:val="000000"/>
                <w:sz w:val="18"/>
                <w:szCs w:val="18"/>
                <w:highlight w:val="none"/>
                <w:shd w:val="clear" w:color="auto" w:fill="auto"/>
                <w:lang w:val="pt-BR" w:eastAsia="zh-CN"/>
              </w:rPr>
              <w:t>.</w:t>
            </w:r>
            <w:r>
              <w:rPr>
                <w:rFonts w:hint="default" w:cs="Arial"/>
                <w:color w:val="000000"/>
                <w:sz w:val="18"/>
                <w:szCs w:val="18"/>
                <w:highlight w:val="none"/>
                <w:shd w:val="clear" w:color="auto" w:fill="auto"/>
                <w:lang w:val="en-US" w:eastAsia="zh-CN"/>
              </w:rPr>
              <w:t>792,37</w:t>
            </w:r>
          </w:p>
        </w:tc>
      </w:tr>
    </w:tbl>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pStyle w:val="31"/>
        <w:keepNext/>
        <w:keepLines/>
        <w:numPr>
          <w:ilvl w:val="0"/>
          <w:numId w:val="0"/>
        </w:numPr>
        <w:spacing w:before="480" w:after="120" w:line="276" w:lineRule="auto"/>
        <w:jc w:val="both"/>
        <w:outlineLvl w:val="0"/>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rPr>
          <w:rFonts w:ascii="Calibri" w:hAnsi="Calibri" w:cs="Tahoma"/>
          <w:color w:val="auto"/>
          <w:sz w:val="24"/>
          <w:szCs w:val="24"/>
        </w:rPr>
      </w:pPr>
    </w:p>
    <w:p>
      <w:pPr>
        <w:pStyle w:val="31"/>
        <w:numPr>
          <w:ilvl w:val="1"/>
          <w:numId w:val="2"/>
        </w:numPr>
        <w:ind w:left="284" w:firstLine="0"/>
        <w:rPr>
          <w:rFonts w:ascii="Calibri" w:hAnsi="Calibri" w:cs="Tahoma"/>
          <w:color w:val="auto"/>
          <w:sz w:val="24"/>
          <w:szCs w:val="24"/>
          <w:u w:val="single"/>
        </w:rPr>
      </w:pPr>
      <w:r>
        <w:rPr>
          <w:rFonts w:ascii="Calibri" w:hAnsi="Calibri" w:cs="Tahoma"/>
          <w:color w:val="auto"/>
          <w:sz w:val="24"/>
          <w:szCs w:val="24"/>
          <w:u w:val="single"/>
        </w:rPr>
        <w:t>REAJUSTAMENTO DE PREÇOS</w:t>
      </w:r>
    </w:p>
    <w:p>
      <w:pPr>
        <w:pStyle w:val="31"/>
        <w:numPr>
          <w:ilvl w:val="2"/>
          <w:numId w:val="2"/>
        </w:numPr>
        <w:spacing w:before="120"/>
        <w:ind w:left="709" w:firstLine="0"/>
        <w:rPr>
          <w:b w:val="0"/>
          <w:color w:val="auto"/>
          <w:u w:val="none"/>
        </w:rPr>
      </w:pPr>
      <w:r>
        <w:rPr>
          <w:b w:val="0"/>
          <w:color w:val="auto"/>
          <w:u w:val="none"/>
        </w:rPr>
        <w:t>Os preços dos insumos e materiais serão reajustados de acordo com a variação do Índice Nacional de Preços ao Consumidor Amplo - IPCA/IBGE;</w:t>
      </w:r>
    </w:p>
    <w:p>
      <w:pPr>
        <w:pStyle w:val="31"/>
        <w:numPr>
          <w:ilvl w:val="2"/>
          <w:numId w:val="2"/>
        </w:numPr>
        <w:spacing w:before="120"/>
        <w:ind w:left="709" w:firstLine="0"/>
        <w:rPr>
          <w:b w:val="0"/>
          <w:color w:val="auto"/>
          <w:u w:val="none"/>
        </w:rPr>
      </w:pPr>
      <w:r>
        <w:rPr>
          <w:b w:val="0"/>
          <w:color w:val="auto"/>
          <w:u w:val="none"/>
        </w:rPr>
        <w:t>Os preços da mão de obra serão repactuados em decorrência de alterações nas Convenções ou Acordos Coletivos, ou na legislação trabalhista e previdenciária.</w:t>
      </w:r>
    </w:p>
    <w:p>
      <w:pPr>
        <w:pStyle w:val="16"/>
        <w:numPr>
          <w:ilvl w:val="1"/>
          <w:numId w:val="2"/>
        </w:numPr>
        <w:tabs>
          <w:tab w:val="left" w:pos="1134"/>
        </w:tabs>
        <w:spacing w:before="120"/>
        <w:jc w:val="both"/>
        <w:rPr>
          <w:rFonts w:ascii="Calibri" w:hAnsi="Calibri"/>
          <w:b/>
          <w:sz w:val="24"/>
          <w:u w:val="single"/>
        </w:rPr>
      </w:pPr>
      <w:r>
        <w:rPr>
          <w:rFonts w:ascii="Calibri" w:hAnsi="Calibri"/>
          <w:b/>
          <w:sz w:val="24"/>
          <w:u w:val="single"/>
        </w:rPr>
        <w:t>PREPOSTO</w:t>
      </w:r>
    </w:p>
    <w:p>
      <w:pPr>
        <w:pStyle w:val="16"/>
        <w:numPr>
          <w:ilvl w:val="2"/>
          <w:numId w:val="2"/>
        </w:numPr>
        <w:tabs>
          <w:tab w:val="left" w:pos="1134"/>
        </w:tabs>
        <w:spacing w:before="120"/>
        <w:ind w:left="709" w:firstLine="0"/>
        <w:jc w:val="both"/>
        <w:rPr>
          <w:rFonts w:ascii="Calibri" w:hAnsi="Calibri"/>
          <w:sz w:val="24"/>
          <w:u w:val="none"/>
        </w:rPr>
      </w:pPr>
      <w:r>
        <w:rPr>
          <w:rFonts w:cs="Times New Roman"/>
          <w:szCs w:val="20"/>
          <w:u w:val="none"/>
        </w:rPr>
        <w:t>A CONTRATADA deverá indicar, mediante declaração, um preposto, aceito pela FISCALIZAÇÃO, durante o período de vigência do contrato, para representá-la administrativamente, sempre que for necessário. Na declaração deverá constar o nome completo, n. do CPF e do documento de identidade, além dos dados relacionados à sua qualificação profissional.</w:t>
      </w:r>
    </w:p>
    <w:p>
      <w:pPr>
        <w:pStyle w:val="16"/>
        <w:numPr>
          <w:ilvl w:val="2"/>
          <w:numId w:val="2"/>
        </w:numPr>
        <w:tabs>
          <w:tab w:val="left" w:pos="1134"/>
        </w:tabs>
        <w:spacing w:before="120"/>
        <w:ind w:left="709" w:firstLine="0"/>
        <w:jc w:val="both"/>
        <w:rPr>
          <w:rFonts w:cs="Times New Roman"/>
          <w:szCs w:val="20"/>
          <w:u w:val="none"/>
        </w:rPr>
      </w:pPr>
      <w:r>
        <w:rPr>
          <w:rFonts w:cs="Times New Roman"/>
          <w:szCs w:val="20"/>
          <w:u w:val="none"/>
        </w:rPr>
        <w:t>O preposto deverá se apresentar à respectiva unidade fiscalizadora em até 5 (cinco) dias úteis após a assinatura do contrato, para tratar dos assuntos pertinentes à implantação de postos e execução do contrato relativos à sua competência e firmar, juntamente com os servidores designados para esse fim, o Termo de Abertura do Livro de Ocorrências, destinado ao assentamento das principais ocorrências durante a execução do contrato.</w:t>
      </w:r>
    </w:p>
    <w:p>
      <w:pPr>
        <w:pStyle w:val="16"/>
        <w:pageBreakBefore w:val="0"/>
        <w:widowControl/>
        <w:numPr>
          <w:ilvl w:val="2"/>
          <w:numId w:val="2"/>
        </w:numPr>
        <w:tabs>
          <w:tab w:val="left" w:pos="1134"/>
        </w:tabs>
        <w:kinsoku/>
        <w:wordWrap/>
        <w:overflowPunct/>
        <w:topLinePunct w:val="0"/>
        <w:autoSpaceDE/>
        <w:autoSpaceDN/>
        <w:bidi w:val="0"/>
        <w:adjustRightInd/>
        <w:snapToGrid/>
        <w:spacing w:line="240" w:lineRule="auto"/>
        <w:ind w:left="709" w:right="0" w:rightChars="0" w:firstLine="0" w:firstLineChars="0"/>
        <w:jc w:val="both"/>
        <w:textAlignment w:val="auto"/>
        <w:rPr>
          <w:rFonts w:ascii="Calibri" w:hAnsi="Calibri"/>
          <w:sz w:val="24"/>
          <w:u w:val="none"/>
        </w:rPr>
      </w:pPr>
      <w:r>
        <w:rPr>
          <w:rFonts w:ascii="Calibri" w:hAnsi="Calibri"/>
          <w:sz w:val="24"/>
          <w:u w:val="none"/>
        </w:rPr>
        <w:t>O preposto deverá estar apto a esclarecer as questões relacionadas às faturas dos serviços prestados.</w:t>
      </w:r>
    </w:p>
    <w:p>
      <w:pPr>
        <w:pStyle w:val="31"/>
        <w:pageBreakBefore w:val="0"/>
        <w:widowControl/>
        <w:numPr>
          <w:ilvl w:val="2"/>
          <w:numId w:val="2"/>
        </w:numPr>
        <w:kinsoku/>
        <w:wordWrap/>
        <w:overflowPunct/>
        <w:topLinePunct w:val="0"/>
        <w:autoSpaceDE/>
        <w:autoSpaceDN/>
        <w:bidi w:val="0"/>
        <w:adjustRightInd/>
        <w:snapToGrid/>
        <w:spacing w:before="0" w:after="0" w:line="240" w:lineRule="auto"/>
        <w:ind w:left="800" w:leftChars="0" w:right="0" w:rightChars="0" w:firstLine="0" w:firstLineChars="0"/>
        <w:jc w:val="both"/>
        <w:textAlignment w:val="auto"/>
        <w:rPr>
          <w:b w:val="0"/>
          <w:bCs/>
          <w:u w:val="none"/>
        </w:rPr>
      </w:pPr>
      <w:r>
        <w:rPr>
          <w:rFonts w:cs="Times New Roman"/>
          <w:b w:val="0"/>
          <w:bCs/>
          <w:szCs w:val="20"/>
          <w:u w:val="none"/>
          <w:lang w:val="pt-BR"/>
        </w:rPr>
        <w:t xml:space="preserve">       </w:t>
      </w:r>
      <w:r>
        <w:rPr>
          <w:rFonts w:cs="Times New Roman"/>
          <w:b w:val="0"/>
          <w:bCs/>
          <w:szCs w:val="20"/>
          <w:u w:val="none"/>
        </w:rPr>
        <w:t>A CONTRATADA orientará o seu preposto quanto à necessidade de acatar as orientações da Administração, inclusive quanto ao cumprimento das Normas Internas e de Segurança e Medicina do Trabalho.</w:t>
      </w:r>
    </w:p>
    <w:p>
      <w:pPr>
        <w:rPr>
          <w:rFonts w:cs="Times New Roman"/>
          <w:b w:val="0"/>
          <w:bCs/>
          <w:szCs w:val="20"/>
        </w:rPr>
      </w:pPr>
    </w:p>
    <w:p>
      <w:pPr>
        <w:pStyle w:val="31"/>
        <w:numPr>
          <w:ilvl w:val="1"/>
          <w:numId w:val="2"/>
        </w:numPr>
        <w:ind w:left="432" w:leftChars="0" w:hanging="432" w:firstLineChars="0"/>
        <w:rPr>
          <w:u w:val="none"/>
        </w:rPr>
      </w:pPr>
      <w:r>
        <w:rPr>
          <w:u w:val="none"/>
        </w:rPr>
        <w:t xml:space="preserve">QUANTIFICAÇÃO DO SERVIÇO DE </w:t>
      </w:r>
      <w:r>
        <w:rPr>
          <w:caps/>
          <w:u w:val="none"/>
        </w:rPr>
        <w:t>Limpeza, conservação, higienização e asseio DO IFS</w:t>
      </w:r>
    </w:p>
    <w:p>
      <w:pPr>
        <w:pStyle w:val="31"/>
        <w:numPr>
          <w:ilvl w:val="2"/>
          <w:numId w:val="2"/>
        </w:numPr>
        <w:spacing w:before="120"/>
        <w:ind w:left="1356" w:hanging="505"/>
        <w:rPr>
          <w:u w:val="none"/>
        </w:rPr>
      </w:pPr>
      <w:r>
        <w:rPr>
          <w:u w:val="none"/>
          <w:lang w:val="pt-BR"/>
        </w:rPr>
        <w:t xml:space="preserve"> O d</w:t>
      </w:r>
      <w:r>
        <w:rPr>
          <w:u w:val="none"/>
        </w:rPr>
        <w:t>etalhamento das áreas</w:t>
      </w:r>
      <w:r>
        <w:rPr>
          <w:u w:val="none"/>
          <w:lang w:val="pt-BR"/>
        </w:rPr>
        <w:t xml:space="preserve"> está contido no Anexo II.</w:t>
      </w:r>
    </w:p>
    <w:p>
      <w:pPr>
        <w:pStyle w:val="31"/>
        <w:numPr>
          <w:ilvl w:val="2"/>
          <w:numId w:val="2"/>
        </w:numPr>
        <w:spacing w:before="120"/>
        <w:ind w:left="851" w:firstLine="0"/>
        <w:rPr>
          <w:b w:val="0"/>
          <w:u w:val="none"/>
        </w:rPr>
      </w:pPr>
      <w:r>
        <w:rPr>
          <w:b w:val="0"/>
          <w:u w:val="none"/>
        </w:rPr>
        <w:t xml:space="preserve">Para cada tipo de Área Física deverá ser apresentado pelas proponentes o respectivo Preço Mensal Unitário por Metro Quadrado, calculado com base na Planilha de Custos e Formação de Preços, contida no </w:t>
      </w:r>
      <w:r>
        <w:rPr>
          <w:b/>
          <w:bCs/>
          <w:highlight w:val="none"/>
          <w:u w:val="none"/>
        </w:rPr>
        <w:t xml:space="preserve">Anexo </w:t>
      </w:r>
      <w:r>
        <w:rPr>
          <w:b/>
          <w:bCs/>
          <w:highlight w:val="none"/>
          <w:u w:val="none"/>
          <w:lang w:val="pt-BR"/>
        </w:rPr>
        <w:t>IX</w:t>
      </w:r>
      <w:r>
        <w:rPr>
          <w:b w:val="0"/>
          <w:highlight w:val="none"/>
          <w:u w:val="none"/>
        </w:rPr>
        <w:t xml:space="preserve"> </w:t>
      </w:r>
      <w:r>
        <w:rPr>
          <w:b w:val="0"/>
          <w:u w:val="none"/>
        </w:rPr>
        <w:t xml:space="preserve">deste edital. </w:t>
      </w:r>
    </w:p>
    <w:p>
      <w:pPr>
        <w:pStyle w:val="31"/>
        <w:numPr>
          <w:ilvl w:val="2"/>
          <w:numId w:val="2"/>
        </w:numPr>
        <w:spacing w:before="120"/>
        <w:ind w:left="851" w:firstLine="0"/>
        <w:rPr>
          <w:u w:val="none"/>
        </w:rPr>
      </w:pPr>
      <w:r>
        <w:rPr>
          <w:b w:val="0"/>
          <w:u w:val="none"/>
        </w:rPr>
        <w:t xml:space="preserve">Em função da área que deve ser limpa, da produtividade estabelecida, da periodicidade de limpeza e da população diária aproximada no prédio, o custo de limpeza do metro quadrado pode ser inferior ao estabelecido na Portaria nº </w:t>
      </w:r>
      <w:r>
        <w:rPr>
          <w:rFonts w:hint="default" w:ascii="Arial" w:hAnsi="Arial" w:eastAsia="SimSun" w:cs="Arial"/>
          <w:b w:val="0"/>
          <w:bCs/>
          <w:i w:val="0"/>
          <w:caps w:val="0"/>
          <w:color w:val="000000"/>
          <w:spacing w:val="0"/>
          <w:sz w:val="21"/>
          <w:szCs w:val="21"/>
          <w:u w:val="none"/>
          <w:shd w:val="clear" w:fill="FFFFFF"/>
        </w:rPr>
        <w:t>213, de 25 de setembro de 2017</w:t>
      </w:r>
      <w:r>
        <w:rPr>
          <w:rFonts w:hint="default" w:eastAsia="SimSun" w:cs="Arial"/>
          <w:i w:val="0"/>
          <w:caps w:val="0"/>
          <w:color w:val="000000"/>
          <w:spacing w:val="0"/>
          <w:sz w:val="21"/>
          <w:szCs w:val="21"/>
          <w:u w:val="none"/>
          <w:shd w:val="clear" w:fill="FFFFFF"/>
          <w:lang w:val="pt-BR"/>
        </w:rPr>
        <w:t xml:space="preserve"> </w:t>
      </w:r>
      <w:r>
        <w:rPr>
          <w:b w:val="0"/>
          <w:u w:val="none"/>
        </w:rPr>
        <w:t>do SLTI/MPOG.</w:t>
      </w:r>
      <w:bookmarkStart w:id="1" w:name="_GoBack"/>
      <w:bookmarkEnd w:id="1"/>
    </w:p>
    <w:p>
      <w:pPr>
        <w:pStyle w:val="31"/>
      </w:pPr>
      <w:r>
        <w:t>JUSTIFICATIVA E OBJETIVO DA CONTRATA</w:t>
      </w:r>
      <w:r>
        <w:rPr>
          <w:rFonts w:hint="eastAsia"/>
        </w:rPr>
        <w:t>ÇÃ</w:t>
      </w:r>
      <w:r>
        <w:t>O</w:t>
      </w:r>
    </w:p>
    <w:p>
      <w:pPr>
        <w:pStyle w:val="31"/>
        <w:keepNext w:val="0"/>
        <w:keepLines w:val="0"/>
        <w:numPr>
          <w:ilvl w:val="1"/>
          <w:numId w:val="2"/>
        </w:numPr>
        <w:rPr>
          <w:i w:val="0"/>
          <w:iCs/>
          <w:color w:val="auto"/>
          <w:u w:val="none"/>
        </w:rPr>
      </w:pPr>
      <w:r>
        <w:rPr>
          <w:i w:val="0"/>
          <w:iCs/>
          <w:color w:val="auto"/>
          <w:u w:val="none"/>
        </w:rPr>
        <w:t>Justificativa para contratação em grupo.</w:t>
      </w:r>
    </w:p>
    <w:p>
      <w:pPr>
        <w:pStyle w:val="31"/>
        <w:keepNext w:val="0"/>
        <w:keepLines w:val="0"/>
        <w:numPr>
          <w:ilvl w:val="2"/>
          <w:numId w:val="2"/>
        </w:numPr>
        <w:tabs>
          <w:tab w:val="left" w:pos="1418"/>
        </w:tabs>
        <w:spacing w:before="120"/>
        <w:ind w:left="600" w:leftChars="0" w:firstLine="0" w:firstLineChars="0"/>
        <w:rPr>
          <w:b w:val="0"/>
          <w:i w:val="0"/>
          <w:iCs/>
          <w:color w:val="auto"/>
          <w:u w:val="none"/>
        </w:rPr>
      </w:pPr>
      <w:r>
        <w:rPr>
          <w:b w:val="0"/>
          <w:i w:val="0"/>
          <w:iCs/>
          <w:color w:val="auto"/>
          <w:u w:val="none"/>
        </w:rPr>
        <w:t xml:space="preserve"> A escolha pela contratação em Grupo se da pelo motivo que as empresas que prestam os serviços terceirizados objeto deste termo, em regra, não têm especialidade no serviço propriamente dito, mas na administração da mão de obra envolvida na prestação desses serviços. Isso é uma realidade de mercado à qual a Instituto Federal de Sergipe precisa se adaptar e adequar seus contratos, pois é cada vez mais raro, por exemplo, firmar contratos com empresas especializadas somente em limpeza, ou em condução de veículos, ou em recepção. As contratadas prestam vários tipos de serviço, às vezes em um mesmo contrato, de forma que adquirem habilidade na gestão dos funcionários que prestam os serviços, e não na técnica de execução destes. Trata-se, assim, de prática regular do mercado prestar esses serviços de forma concomitante. </w:t>
      </w:r>
    </w:p>
    <w:p>
      <w:pPr>
        <w:pStyle w:val="31"/>
        <w:keepNext w:val="0"/>
        <w:keepLines w:val="0"/>
        <w:numPr>
          <w:ilvl w:val="2"/>
          <w:numId w:val="2"/>
        </w:numPr>
        <w:tabs>
          <w:tab w:val="left" w:pos="1418"/>
        </w:tabs>
        <w:spacing w:before="120"/>
        <w:ind w:left="600" w:leftChars="0" w:firstLine="0" w:firstLineChars="0"/>
        <w:rPr>
          <w:b w:val="0"/>
          <w:i w:val="0"/>
          <w:iCs/>
          <w:color w:val="auto"/>
          <w:u w:val="none"/>
        </w:rPr>
      </w:pPr>
      <w:r>
        <w:rPr>
          <w:b w:val="0"/>
          <w:i w:val="0"/>
          <w:iCs/>
          <w:color w:val="auto"/>
          <w:u w:val="none"/>
        </w:rPr>
        <w:t xml:space="preserve">Desse modo, a divisão do objeto, como previsto no art. 23, § 1º, da Lei nº. 8.666/93, não implica em ampliação da competitividade e, em consequência, em ganhos econômicos, pois as mesmas empresas participarão da licitação em diversos itens isolados, perdendo-se a economia de escala. </w:t>
      </w:r>
    </w:p>
    <w:p>
      <w:pPr>
        <w:pStyle w:val="31"/>
        <w:keepNext w:val="0"/>
        <w:keepLines w:val="0"/>
        <w:numPr>
          <w:ilvl w:val="2"/>
          <w:numId w:val="2"/>
        </w:numPr>
        <w:tabs>
          <w:tab w:val="left" w:pos="1418"/>
        </w:tabs>
        <w:spacing w:before="120"/>
        <w:ind w:left="609" w:leftChars="0" w:hanging="9" w:firstLineChars="0"/>
        <w:rPr>
          <w:b w:val="0"/>
          <w:i w:val="0"/>
          <w:iCs/>
          <w:color w:val="auto"/>
          <w:u w:val="none"/>
        </w:rPr>
      </w:pPr>
      <w:r>
        <w:rPr>
          <w:b w:val="0"/>
          <w:i w:val="0"/>
          <w:iCs/>
          <w:color w:val="auto"/>
          <w:u w:val="none"/>
        </w:rPr>
        <w:t xml:space="preserve">Além do mais, quanto maior o objeto desse tipo de contrato, menores serão os custos fixos por posto de trabalho. Portanto, é esperada uma redução dos preços ofertados. </w:t>
      </w:r>
    </w:p>
    <w:p>
      <w:pPr>
        <w:pageBreakBefore w:val="0"/>
        <w:widowControl/>
        <w:numPr>
          <w:ilvl w:val="2"/>
          <w:numId w:val="2"/>
        </w:numPr>
        <w:tabs>
          <w:tab w:val="left" w:pos="1418"/>
        </w:tabs>
        <w:kinsoku/>
        <w:wordWrap/>
        <w:overflowPunct/>
        <w:topLinePunct w:val="0"/>
        <w:autoSpaceDE/>
        <w:autoSpaceDN/>
        <w:bidi w:val="0"/>
        <w:adjustRightInd/>
        <w:snapToGrid/>
        <w:spacing w:after="120" w:line="240" w:lineRule="auto"/>
        <w:ind w:left="600" w:leftChars="0" w:right="0" w:rightChars="0" w:firstLine="0" w:firstLineChars="0"/>
        <w:jc w:val="both"/>
        <w:textAlignment w:val="auto"/>
        <w:rPr>
          <w:rFonts w:cs="Times New Roman"/>
          <w:i w:val="0"/>
          <w:iCs/>
          <w:szCs w:val="20"/>
          <w:u w:val="none"/>
        </w:rPr>
      </w:pPr>
      <w:r>
        <w:rPr>
          <w:rFonts w:cs="Times New Roman"/>
          <w:i w:val="0"/>
          <w:iCs/>
          <w:szCs w:val="20"/>
          <w:u w:val="none"/>
        </w:rPr>
        <w:t>Observada essa linha de raciocínio, a simples divisão desses serviços implicará apenas em aumento de despesas para Instituto Federal de Sergipe, seja para contratá-los, seja para geri-los.</w:t>
      </w:r>
    </w:p>
    <w:p>
      <w:pPr>
        <w:pStyle w:val="31"/>
        <w:pageBreakBefore w:val="0"/>
        <w:widowControl/>
        <w:numPr>
          <w:ilvl w:val="2"/>
          <w:numId w:val="2"/>
        </w:numPr>
        <w:kinsoku/>
        <w:wordWrap/>
        <w:overflowPunct/>
        <w:topLinePunct w:val="0"/>
        <w:autoSpaceDE/>
        <w:autoSpaceDN/>
        <w:bidi w:val="0"/>
        <w:adjustRightInd/>
        <w:snapToGrid/>
        <w:spacing w:before="0" w:after="120" w:line="240" w:lineRule="auto"/>
        <w:ind w:left="617" w:leftChars="0" w:right="0" w:rightChars="0" w:hanging="17" w:firstLineChars="0"/>
        <w:jc w:val="both"/>
        <w:textAlignment w:val="auto"/>
        <w:rPr>
          <w:b w:val="0"/>
          <w:bCs/>
          <w:i w:val="0"/>
          <w:iCs/>
          <w:u w:val="none"/>
        </w:rPr>
      </w:pPr>
      <w:r>
        <w:rPr>
          <w:rFonts w:cs="Times New Roman"/>
          <w:b w:val="0"/>
          <w:bCs/>
          <w:i w:val="0"/>
          <w:iCs/>
          <w:szCs w:val="20"/>
          <w:u w:val="none"/>
        </w:rPr>
        <w:t xml:space="preserve">  Portanto, sob o ponto de vista técnico e econômico, serviços não especializados, como os constantes neste Termo de Referência, não devem ser divididos, sob pena de perca de economia de escala e possível prejuízo ao erário. Com o objetivo de melhor aproveitar os recursos disponíveis no mercado e ampliar a competitividade, alem de diminuir o custo com publicações de contratos e termos aditivos e um melhor gerenciamento do contrato. O PREGÃO SERÁ DIVIDO POR GRUPO conforme condições, quantidades e exigências estabelecidas neste instrumento.</w:t>
      </w:r>
    </w:p>
    <w:p>
      <w:pPr>
        <w:pStyle w:val="31"/>
        <w:numPr>
          <w:ilvl w:val="1"/>
          <w:numId w:val="2"/>
        </w:numPr>
        <w:rPr>
          <w:rFonts w:cs="Arial"/>
          <w:u w:val="single"/>
        </w:rPr>
      </w:pPr>
      <w:r>
        <w:rPr>
          <w:rFonts w:ascii="Calibri" w:hAnsi="Calibri" w:cs="Calibri"/>
        </w:rPr>
        <w:t xml:space="preserve"> </w:t>
      </w:r>
      <w:r>
        <w:rPr>
          <w:rFonts w:cs="Arial"/>
          <w:u w:val="single"/>
        </w:rPr>
        <w:t>Motivação da Contratação</w:t>
      </w:r>
    </w:p>
    <w:p>
      <w:pPr>
        <w:spacing w:before="120" w:after="120" w:line="276" w:lineRule="auto"/>
        <w:ind w:left="432"/>
        <w:jc w:val="both"/>
        <w:rPr>
          <w:rFonts w:ascii="Times New Roman" w:hAnsi="Times New Roman" w:cs="Times New Roman"/>
          <w:color w:val="000000"/>
          <w:u w:val="none"/>
        </w:rPr>
      </w:pPr>
    </w:p>
    <w:p>
      <w:pPr>
        <w:numPr>
          <w:ilvl w:val="2"/>
          <w:numId w:val="2"/>
        </w:numPr>
        <w:tabs>
          <w:tab w:val="left" w:pos="1418"/>
        </w:tabs>
        <w:spacing w:before="120" w:after="120" w:line="276" w:lineRule="auto"/>
        <w:ind w:left="709" w:firstLine="0"/>
        <w:jc w:val="both"/>
        <w:rPr>
          <w:rFonts w:cs="Times New Roman"/>
          <w:szCs w:val="20"/>
          <w:u w:val="none"/>
        </w:rPr>
      </w:pPr>
      <w:r>
        <w:rPr>
          <w:rFonts w:cs="Times New Roman"/>
          <w:szCs w:val="20"/>
          <w:u w:val="none"/>
        </w:rPr>
        <w:t>Conforme dispõe o Decreto nº 2.271/97, os serviços de terceiros que podem ser contratados são aqueles que apóiam a realização das atividades essenciais ao cumprimento da missão institucional do órgão, entre os quais estão previstos aqueles relacionados às atividades descritas neste Termo de Referência;</w:t>
      </w:r>
    </w:p>
    <w:p>
      <w:pPr>
        <w:numPr>
          <w:ilvl w:val="2"/>
          <w:numId w:val="2"/>
        </w:numPr>
        <w:tabs>
          <w:tab w:val="left" w:pos="1418"/>
        </w:tabs>
        <w:spacing w:before="120" w:after="120" w:line="276" w:lineRule="auto"/>
        <w:ind w:left="709" w:firstLine="0"/>
        <w:jc w:val="both"/>
        <w:rPr>
          <w:rFonts w:cs="Times New Roman"/>
          <w:szCs w:val="20"/>
          <w:u w:val="none"/>
        </w:rPr>
      </w:pPr>
      <w:r>
        <w:rPr>
          <w:rFonts w:cs="Arial"/>
          <w:color w:val="000000"/>
          <w:u w:val="none"/>
          <w:shd w:val="clear" w:color="auto" w:fill="FFFFFF"/>
        </w:rPr>
        <w:t> </w:t>
      </w:r>
      <w:r>
        <w:rPr>
          <w:rFonts w:cs="Times New Roman"/>
          <w:szCs w:val="20"/>
          <w:u w:val="none"/>
        </w:rPr>
        <w:t xml:space="preserve">Conforme dispõe o Decreto nº 3.555/2000, </w:t>
      </w:r>
      <w:r>
        <w:rPr>
          <w:u w:val="none"/>
        </w:rPr>
        <w:fldChar w:fldCharType="begin"/>
      </w:r>
      <w:r>
        <w:rPr>
          <w:u w:val="none"/>
        </w:rPr>
        <w:instrText xml:space="preserve">HYPERLINK "http://legislacao.planalto.gov.br/legisla/legislacao.nsf/Viw_Identificacao/DEC%203.555-2000?OpenDocument"</w:instrText>
      </w:r>
      <w:r>
        <w:rPr>
          <w:u w:val="none"/>
        </w:rPr>
        <w:fldChar w:fldCharType="separate"/>
      </w:r>
      <w:r>
        <w:rPr>
          <w:u w:val="none"/>
        </w:rPr>
        <w:fldChar w:fldCharType="end"/>
      </w:r>
      <w:r>
        <w:rPr>
          <w:u w:val="none"/>
        </w:rPr>
        <w:t>c</w:t>
      </w:r>
      <w:r>
        <w:rPr>
          <w:rFonts w:cs="Arial"/>
          <w:color w:val="000000"/>
          <w:u w:val="none"/>
          <w:shd w:val="clear" w:color="auto" w:fill="FFFFFF"/>
        </w:rPr>
        <w:t>onsideram-se bens e serviços comuns aqueles cujos padrões de desempenho e qualidade possam ser objetivamente definidos no edital, por meio de especificações usuais praticadas no mercado.</w:t>
      </w:r>
    </w:p>
    <w:p>
      <w:pPr>
        <w:numPr>
          <w:ilvl w:val="2"/>
          <w:numId w:val="2"/>
        </w:numPr>
        <w:tabs>
          <w:tab w:val="left" w:pos="1418"/>
        </w:tabs>
        <w:spacing w:before="120" w:after="120" w:line="276" w:lineRule="auto"/>
        <w:ind w:left="709" w:firstLine="0"/>
        <w:jc w:val="both"/>
        <w:rPr>
          <w:rFonts w:cs="Times New Roman"/>
          <w:szCs w:val="20"/>
          <w:u w:val="none"/>
        </w:rPr>
      </w:pPr>
      <w:r>
        <w:rPr>
          <w:rFonts w:cs="Times New Roman"/>
          <w:szCs w:val="20"/>
          <w:u w:val="none"/>
        </w:rPr>
        <w:t>E considerando a peculiaridade da qual estão revestidas as atividades finalísticas da Instituição, faz-se necessária e oportuna a contratação de serviços auxiliares, a fim de proporcionar melhores condições de trabalho dos demais servidores e do público em geral;</w:t>
      </w:r>
    </w:p>
    <w:p>
      <w:pPr>
        <w:pStyle w:val="16"/>
        <w:numPr>
          <w:ilvl w:val="2"/>
          <w:numId w:val="2"/>
        </w:numPr>
        <w:tabs>
          <w:tab w:val="left" w:pos="1418"/>
        </w:tabs>
        <w:suppressAutoHyphens/>
        <w:spacing w:before="120" w:after="120" w:line="23" w:lineRule="atLeast"/>
        <w:ind w:left="709" w:firstLine="0"/>
        <w:jc w:val="both"/>
        <w:rPr>
          <w:rFonts w:cs="Times New Roman"/>
          <w:szCs w:val="20"/>
          <w:u w:val="none"/>
        </w:rPr>
      </w:pPr>
      <w:r>
        <w:rPr>
          <w:rFonts w:cs="Times New Roman"/>
          <w:szCs w:val="20"/>
          <w:u w:val="none"/>
        </w:rPr>
        <w:t xml:space="preserve">Conforme decreto 7892/2013 foi adotada a opção pela utilização do Sistema de Registro de Preço pelo fato de possibilitar que a contratação dos </w:t>
      </w:r>
      <w:r>
        <w:rPr>
          <w:rFonts w:hint="eastAsia" w:cs="Times New Roman"/>
          <w:szCs w:val="20"/>
          <w:u w:val="none"/>
        </w:rPr>
        <w:t>bens</w:t>
      </w:r>
      <w:r>
        <w:rPr>
          <w:rFonts w:cs="Times New Roman"/>
          <w:szCs w:val="20"/>
          <w:u w:val="none"/>
        </w:rPr>
        <w:t>, possam também atender a demanda de outros campus do IFS além de outros órgãos;</w:t>
      </w:r>
    </w:p>
    <w:p>
      <w:pPr>
        <w:rPr>
          <w:rFonts w:cs="Times New Roman"/>
          <w:b w:val="0"/>
          <w:bCs/>
          <w:szCs w:val="20"/>
          <w:u w:val="none"/>
        </w:rPr>
      </w:pPr>
    </w:p>
    <w:p>
      <w:pPr>
        <w:rPr>
          <w:rFonts w:cs="Times New Roman"/>
          <w:b w:val="0"/>
          <w:bCs/>
          <w:szCs w:val="20"/>
          <w:u w:val="none"/>
        </w:rPr>
      </w:pPr>
    </w:p>
    <w:p>
      <w:pPr>
        <w:pStyle w:val="31"/>
        <w:keepNext w:val="0"/>
        <w:keepLines w:val="0"/>
        <w:numPr>
          <w:ilvl w:val="1"/>
          <w:numId w:val="2"/>
        </w:numPr>
        <w:spacing w:before="120" w:line="23" w:lineRule="atLeast"/>
        <w:rPr>
          <w:u w:val="none"/>
        </w:rPr>
      </w:pPr>
      <w:r>
        <w:rPr>
          <w:u w:val="none"/>
        </w:rPr>
        <w:t>Benefícios diretos e indiretos que resultarão da contratação:</w:t>
      </w:r>
    </w:p>
    <w:p>
      <w:pPr>
        <w:pStyle w:val="31"/>
        <w:keepNext w:val="0"/>
        <w:keepLines w:val="0"/>
        <w:numPr>
          <w:ilvl w:val="2"/>
          <w:numId w:val="2"/>
        </w:numPr>
        <w:tabs>
          <w:tab w:val="left" w:pos="1418"/>
        </w:tabs>
        <w:spacing w:before="120" w:line="23" w:lineRule="atLeast"/>
        <w:ind w:left="709" w:firstLine="0"/>
        <w:rPr>
          <w:b w:val="0"/>
          <w:color w:val="auto"/>
          <w:u w:val="none"/>
        </w:rPr>
      </w:pPr>
      <w:r>
        <w:rPr>
          <w:b w:val="0"/>
          <w:color w:val="auto"/>
          <w:u w:val="none"/>
        </w:rPr>
        <w:t>A contratação proposta resultará benéfica e vantajosa, uma vez que será exercida dentro dos limites do IFS, por empresa especializada devidamente habilitada pelos órgãos de controle e fiscalização da atividade e com utilização de mão de obra detentora de formação profissional específica com dedicação exclusiva;</w:t>
      </w:r>
    </w:p>
    <w:p>
      <w:pPr>
        <w:pStyle w:val="31"/>
        <w:keepNext w:val="0"/>
        <w:keepLines w:val="0"/>
        <w:numPr>
          <w:ilvl w:val="2"/>
          <w:numId w:val="2"/>
        </w:numPr>
        <w:tabs>
          <w:tab w:val="left" w:pos="1418"/>
        </w:tabs>
        <w:spacing w:before="120" w:line="23" w:lineRule="atLeast"/>
        <w:ind w:left="709" w:firstLine="0"/>
        <w:rPr>
          <w:b w:val="0"/>
          <w:color w:val="auto"/>
          <w:u w:val="none"/>
        </w:rPr>
      </w:pPr>
      <w:r>
        <w:rPr>
          <w:b w:val="0"/>
          <w:color w:val="auto"/>
          <w:u w:val="none"/>
        </w:rPr>
        <w:t>Utiliza rotinas e define perfil de mão de obra, para os postos de serviço, que possibilitam maior eficiência do efetivo utilizado no desenvolvimento de ações preventivas que incluem o uso de equipamentos auxiliares à execução dos serviços;</w:t>
      </w:r>
    </w:p>
    <w:p>
      <w:pPr>
        <w:pStyle w:val="31"/>
        <w:keepNext w:val="0"/>
        <w:keepLines w:val="0"/>
        <w:numPr>
          <w:ilvl w:val="2"/>
          <w:numId w:val="2"/>
        </w:numPr>
        <w:tabs>
          <w:tab w:val="left" w:pos="1418"/>
        </w:tabs>
        <w:spacing w:before="120" w:line="23" w:lineRule="atLeast"/>
        <w:ind w:left="709" w:firstLine="0"/>
        <w:rPr>
          <w:b w:val="0"/>
          <w:color w:val="auto"/>
          <w:u w:val="none"/>
        </w:rPr>
      </w:pPr>
      <w:r>
        <w:rPr>
          <w:b w:val="0"/>
          <w:color w:val="auto"/>
          <w:u w:val="none"/>
        </w:rPr>
        <w:t>A utilização de pessoal e equipamentos adequados no ambiente das Unidades refletirão, nos resultados produtivos e melhoria do atendimento prestado à sociedade;</w:t>
      </w:r>
    </w:p>
    <w:p>
      <w:pPr>
        <w:pStyle w:val="31"/>
        <w:keepNext w:val="0"/>
        <w:keepLines w:val="0"/>
        <w:numPr>
          <w:ilvl w:val="2"/>
          <w:numId w:val="2"/>
        </w:numPr>
        <w:tabs>
          <w:tab w:val="left" w:pos="1418"/>
        </w:tabs>
        <w:spacing w:before="120" w:line="23" w:lineRule="atLeast"/>
        <w:ind w:left="709" w:firstLine="0"/>
        <w:rPr>
          <w:b w:val="0"/>
          <w:color w:val="auto"/>
          <w:u w:val="none"/>
        </w:rPr>
      </w:pPr>
      <w:r>
        <w:rPr>
          <w:b w:val="0"/>
          <w:color w:val="auto"/>
          <w:u w:val="none"/>
        </w:rPr>
        <w:t>Não implicará em custos com contratação, treinamento e administração de mão de obra;</w:t>
      </w:r>
    </w:p>
    <w:p>
      <w:pPr>
        <w:pStyle w:val="31"/>
        <w:keepNext w:val="0"/>
        <w:keepLines w:val="0"/>
        <w:numPr>
          <w:ilvl w:val="2"/>
          <w:numId w:val="2"/>
        </w:numPr>
        <w:tabs>
          <w:tab w:val="left" w:pos="1418"/>
        </w:tabs>
        <w:spacing w:before="120" w:line="23" w:lineRule="atLeast"/>
        <w:ind w:left="709" w:firstLine="0"/>
        <w:rPr>
          <w:b w:val="0"/>
          <w:color w:val="auto"/>
          <w:u w:val="none"/>
        </w:rPr>
      </w:pPr>
      <w:r>
        <w:rPr>
          <w:b w:val="0"/>
          <w:color w:val="auto"/>
          <w:u w:val="none"/>
        </w:rPr>
        <w:t>Os padrões aqui definidos que contam com especificações usuais no mercado, permitirão a permanente mensuração qualitativa e quantitativa dos resultados, maximizando o aproveitamento dos serviços prestados;</w:t>
      </w:r>
    </w:p>
    <w:p>
      <w:pPr>
        <w:pStyle w:val="16"/>
        <w:numPr>
          <w:ilvl w:val="2"/>
          <w:numId w:val="2"/>
        </w:numPr>
        <w:tabs>
          <w:tab w:val="left" w:pos="1418"/>
          <w:tab w:val="left" w:pos="2340"/>
        </w:tabs>
        <w:spacing w:before="120" w:after="120" w:line="23" w:lineRule="atLeast"/>
        <w:ind w:left="709" w:firstLine="0"/>
        <w:jc w:val="both"/>
        <w:rPr>
          <w:rFonts w:cs="Times New Roman"/>
          <w:szCs w:val="20"/>
          <w:u w:val="none"/>
        </w:rPr>
      </w:pPr>
      <w:r>
        <w:rPr>
          <w:rFonts w:cs="Times New Roman"/>
          <w:szCs w:val="20"/>
          <w:u w:val="none"/>
        </w:rPr>
        <w:t>Os parâmetros definidos para o objeto da licitação e para prestação dos serviços possibilitam obter preço compatível com a finalidade estabelecida;</w:t>
      </w:r>
    </w:p>
    <w:p>
      <w:pPr>
        <w:pStyle w:val="31"/>
        <w:keepNext w:val="0"/>
        <w:keepLines w:val="0"/>
        <w:numPr>
          <w:ilvl w:val="2"/>
          <w:numId w:val="2"/>
        </w:numPr>
        <w:tabs>
          <w:tab w:val="left" w:pos="1418"/>
        </w:tabs>
        <w:spacing w:before="120" w:line="23" w:lineRule="atLeast"/>
        <w:ind w:left="709" w:firstLine="0"/>
        <w:rPr>
          <w:b w:val="0"/>
          <w:color w:val="auto"/>
          <w:u w:val="none"/>
        </w:rPr>
      </w:pPr>
      <w:r>
        <w:rPr>
          <w:b w:val="0"/>
          <w:color w:val="auto"/>
          <w:u w:val="none"/>
        </w:rPr>
        <w:t>A modalidade de Pregão na forma Eletrônica, por ser realizado à distância, confere ao procedimento maior transparência e impessoalidade e aumenta a possibilidade de obter menor preço;</w:t>
      </w:r>
    </w:p>
    <w:p>
      <w:pPr>
        <w:pStyle w:val="31"/>
        <w:keepNext w:val="0"/>
        <w:keepLines w:val="0"/>
        <w:numPr>
          <w:ilvl w:val="2"/>
          <w:numId w:val="2"/>
        </w:numPr>
        <w:tabs>
          <w:tab w:val="left" w:pos="1418"/>
        </w:tabs>
        <w:spacing w:before="120" w:line="23" w:lineRule="atLeast"/>
        <w:ind w:left="709" w:firstLine="0"/>
        <w:rPr>
          <w:b w:val="0"/>
          <w:color w:val="auto"/>
          <w:u w:val="none"/>
        </w:rPr>
      </w:pPr>
      <w:r>
        <w:rPr>
          <w:b w:val="0"/>
          <w:color w:val="auto"/>
          <w:u w:val="none"/>
        </w:rPr>
        <w:t>A contratação dos serviços com o fornecimento de todos os materiais necessários à sua execução,é uma prática na administração pública e justifica-se pela necessidade da prevenção de doenças e a manutenção da saúde de todos os servidores e demais usuários, se mostra vantajoso e mais econômico por ser um único processo licitatório, tendo em vista que o IFS atualmente apresenta grande carência de recursos humanos para as tantas atribuições criadas pela</w:t>
      </w:r>
      <w:r>
        <w:rPr>
          <w:b w:val="0"/>
          <w:color w:val="auto"/>
          <w:highlight w:val="none"/>
          <w:u w:val="none"/>
        </w:rPr>
        <w:t xml:space="preserve"> IN 02/2008 </w:t>
      </w:r>
      <w:r>
        <w:rPr>
          <w:b w:val="0"/>
          <w:color w:val="auto"/>
          <w:u w:val="none"/>
        </w:rPr>
        <w:t>com relação a fiscalização contratual.</w:t>
      </w:r>
    </w:p>
    <w:p>
      <w:pPr>
        <w:pStyle w:val="31"/>
        <w:keepNext w:val="0"/>
        <w:keepLines w:val="0"/>
        <w:numPr>
          <w:ilvl w:val="2"/>
          <w:numId w:val="2"/>
        </w:numPr>
        <w:tabs>
          <w:tab w:val="left" w:pos="1418"/>
        </w:tabs>
        <w:spacing w:before="120" w:line="23" w:lineRule="atLeast"/>
        <w:ind w:left="709" w:firstLine="0"/>
        <w:rPr>
          <w:b w:val="0"/>
          <w:color w:val="auto"/>
          <w:u w:val="none"/>
        </w:rPr>
      </w:pPr>
      <w:r>
        <w:rPr>
          <w:b w:val="0"/>
          <w:color w:val="auto"/>
          <w:u w:val="none"/>
        </w:rPr>
        <w:t>A contratação conjunta de serviços e materiais representa vantagem para a Administração, pois:</w:t>
      </w:r>
    </w:p>
    <w:p>
      <w:pPr>
        <w:tabs>
          <w:tab w:val="left" w:pos="1418"/>
          <w:tab w:val="left" w:pos="2370"/>
        </w:tabs>
        <w:spacing w:before="120" w:after="120" w:line="23" w:lineRule="atLeast"/>
        <w:ind w:left="1276"/>
        <w:jc w:val="both"/>
        <w:rPr>
          <w:rFonts w:cs="Times New Roman"/>
          <w:szCs w:val="20"/>
          <w:u w:val="none"/>
        </w:rPr>
      </w:pPr>
      <w:r>
        <w:rPr>
          <w:rFonts w:cs="Times New Roman"/>
          <w:szCs w:val="20"/>
          <w:u w:val="none"/>
        </w:rPr>
        <w:tab/>
      </w:r>
      <w:r>
        <w:rPr>
          <w:rFonts w:cs="Times New Roman"/>
          <w:szCs w:val="20"/>
          <w:u w:val="none"/>
        </w:rPr>
        <w:t xml:space="preserve"> a. as empresas adquirem material em quantidade muito superior às necessidades de determinada unidade, visto que detêm vários contratos, podendo, assim, obter preços mais reduzidos que a Administração; </w:t>
      </w:r>
    </w:p>
    <w:p>
      <w:pPr>
        <w:tabs>
          <w:tab w:val="left" w:pos="1418"/>
          <w:tab w:val="left" w:pos="3090"/>
        </w:tabs>
        <w:spacing w:before="120" w:after="120" w:line="23" w:lineRule="atLeast"/>
        <w:ind w:left="1276"/>
        <w:jc w:val="both"/>
        <w:rPr>
          <w:rFonts w:cs="Times New Roman"/>
          <w:szCs w:val="20"/>
          <w:u w:val="none"/>
        </w:rPr>
      </w:pPr>
      <w:r>
        <w:rPr>
          <w:rFonts w:cs="Times New Roman"/>
          <w:szCs w:val="20"/>
          <w:u w:val="none"/>
        </w:rPr>
        <w:tab/>
      </w:r>
      <w:r>
        <w:rPr>
          <w:rFonts w:cs="Times New Roman"/>
          <w:szCs w:val="20"/>
          <w:u w:val="none"/>
        </w:rPr>
        <w:t>b. mesmo que, somente por hipótese, a Administração pudesse realizar a compra do material por preço mais reduzido que o da contratada, deveriam ser considerados outros custos envolvidos, tais como a remuneração dos servidores que se ocupariam dessa atividade em detrimento de outras mais prioritárias, as publicações necessárias, transporte, armazenagem e eventuais perdas;</w:t>
      </w:r>
    </w:p>
    <w:p>
      <w:pPr>
        <w:tabs>
          <w:tab w:val="left" w:pos="1418"/>
          <w:tab w:val="left" w:pos="3570"/>
        </w:tabs>
        <w:spacing w:before="120" w:after="120" w:line="23" w:lineRule="atLeast"/>
        <w:ind w:left="1276"/>
        <w:jc w:val="both"/>
        <w:rPr>
          <w:rFonts w:cs="Times New Roman"/>
          <w:szCs w:val="20"/>
          <w:u w:val="none"/>
        </w:rPr>
      </w:pPr>
      <w:r>
        <w:rPr>
          <w:rFonts w:cs="Times New Roman"/>
          <w:szCs w:val="20"/>
          <w:u w:val="none"/>
        </w:rPr>
        <w:tab/>
      </w:r>
      <w:r>
        <w:rPr>
          <w:rFonts w:cs="Times New Roman"/>
          <w:szCs w:val="20"/>
          <w:u w:val="none"/>
        </w:rPr>
        <w:t>c. em que pese o planejamento e o controle de estoque, a fim de que não falte o material, mesmo assim, podem ocorrer atrasos na entrega, bem como recusa dos materiais por não atendimento das especificações do edital, ocasionando falta de materiais;</w:t>
      </w:r>
    </w:p>
    <w:p>
      <w:pPr>
        <w:tabs>
          <w:tab w:val="left" w:pos="1418"/>
          <w:tab w:val="left" w:pos="3570"/>
        </w:tabs>
        <w:spacing w:before="120" w:after="120" w:line="23" w:lineRule="atLeast"/>
        <w:ind w:left="1276"/>
        <w:jc w:val="both"/>
        <w:rPr>
          <w:rFonts w:cs="Times New Roman"/>
          <w:szCs w:val="20"/>
          <w:u w:val="none"/>
        </w:rPr>
      </w:pPr>
      <w:r>
        <w:rPr>
          <w:rFonts w:cs="Times New Roman"/>
          <w:szCs w:val="20"/>
          <w:u w:val="none"/>
        </w:rPr>
        <w:tab/>
      </w:r>
      <w:r>
        <w:rPr>
          <w:rFonts w:cs="Times New Roman"/>
          <w:szCs w:val="20"/>
          <w:u w:val="none"/>
        </w:rPr>
        <w:t>d. O gerenciamento centralizado dos serviços e materiais pela contratada propicia melhor integração das atividades, com menor probabilidade de falta de materiais e comprometimento dos serviços.</w:t>
      </w:r>
    </w:p>
    <w:p>
      <w:pPr>
        <w:pStyle w:val="31"/>
        <w:numPr>
          <w:ilvl w:val="0"/>
          <w:numId w:val="0"/>
        </w:numPr>
        <w:tabs>
          <w:tab w:val="left" w:pos="1418"/>
        </w:tabs>
        <w:autoSpaceDE w:val="0"/>
        <w:autoSpaceDN w:val="0"/>
        <w:adjustRightInd w:val="0"/>
        <w:spacing w:before="120" w:line="23" w:lineRule="atLeast"/>
        <w:ind w:left="1276"/>
        <w:rPr>
          <w:b w:val="0"/>
          <w:color w:val="auto"/>
          <w:u w:val="single"/>
        </w:rPr>
      </w:pPr>
      <w:r>
        <w:rPr>
          <w:b w:val="0"/>
          <w:color w:val="auto"/>
          <w:u w:val="none"/>
        </w:rPr>
        <w:tab/>
      </w:r>
      <w:r>
        <w:rPr>
          <w:b w:val="0"/>
          <w:color w:val="auto"/>
          <w:u w:val="none"/>
        </w:rPr>
        <w:t>e. Ocupar servidores que poderiam efetuar contratações mais prioritárias para a realização de um processo para aquisição de materiais que a contratada tem total condição de fornecer, parece ferir o princípio da razoabilidade.</w:t>
      </w:r>
    </w:p>
    <w:p>
      <w:pPr>
        <w:pStyle w:val="31"/>
        <w:ind w:left="-223" w:leftChars="0"/>
        <w:rPr>
          <w:u w:val="single"/>
        </w:rPr>
      </w:pPr>
      <w:r>
        <w:rPr>
          <w:u w:val="single"/>
        </w:rPr>
        <w:t>DA CLASSIFICAÇÃO DOS SERVIÇOS</w:t>
      </w:r>
    </w:p>
    <w:p>
      <w:pPr>
        <w:numPr>
          <w:ilvl w:val="1"/>
          <w:numId w:val="2"/>
        </w:numPr>
        <w:spacing w:before="120" w:after="120" w:line="276" w:lineRule="auto"/>
        <w:ind w:left="425" w:leftChars="0" w:firstLine="0"/>
        <w:jc w:val="both"/>
        <w:rPr>
          <w:rFonts w:cs="Times New Roman"/>
          <w:b/>
          <w:szCs w:val="20"/>
        </w:rPr>
      </w:pPr>
      <w:r>
        <w:rPr>
          <w:rFonts w:cs="Times New Roman"/>
          <w:b/>
          <w:szCs w:val="20"/>
        </w:rPr>
        <w:t>O Objeto deste termo de referência apresenta padrões de desempenho e qualidade que estão aqui descritos objetivamente por meio de suas especificações, sendo, pois considerados serviços comuns nos termos do Art. 1º da Lei 10.520 de 2002.</w:t>
      </w:r>
    </w:p>
    <w:p>
      <w:pPr>
        <w:numPr>
          <w:ilvl w:val="1"/>
          <w:numId w:val="2"/>
        </w:numPr>
        <w:spacing w:before="120" w:after="120" w:line="276" w:lineRule="auto"/>
        <w:ind w:left="425" w:leftChars="0" w:firstLine="0"/>
        <w:jc w:val="both"/>
        <w:rPr>
          <w:rFonts w:cs="Times New Roman"/>
          <w:color w:val="000000"/>
          <w:szCs w:val="20"/>
        </w:rPr>
      </w:pPr>
      <w:r>
        <w:rPr>
          <w:rFonts w:cs="Times New Roman"/>
          <w:color w:val="000000"/>
          <w:szCs w:val="20"/>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pPr>
        <w:numPr>
          <w:ilvl w:val="1"/>
          <w:numId w:val="2"/>
        </w:numPr>
        <w:spacing w:before="120" w:after="120" w:line="276" w:lineRule="auto"/>
        <w:ind w:left="425" w:leftChars="0" w:firstLine="0"/>
        <w:jc w:val="both"/>
        <w:rPr>
          <w:rFonts w:cs="Times New Roman"/>
          <w:color w:val="000000"/>
          <w:szCs w:val="20"/>
        </w:rPr>
      </w:pPr>
      <w:r>
        <w:rPr>
          <w:rFonts w:cs="Times New Roman"/>
          <w:color w:val="000000"/>
          <w:szCs w:val="20"/>
        </w:rPr>
        <w:t>A prestação dos serviços não gera vínculo empregatício entre os empregados da Contratada e a Administração Contratante, vedando-se qualquer relação entre estes que caracterize pessoalidade e subordinação direta.</w:t>
      </w:r>
    </w:p>
    <w:p>
      <w:pPr>
        <w:pStyle w:val="31"/>
        <w:rPr>
          <w:u w:val="single"/>
        </w:rPr>
      </w:pPr>
      <w:r>
        <w:rPr>
          <w:u w:val="single"/>
        </w:rPr>
        <w:t>FORMA DE PRESTAÇÃO DOS SERVIÇOS</w:t>
      </w:r>
    </w:p>
    <w:p>
      <w:pPr>
        <w:numPr>
          <w:ilvl w:val="1"/>
          <w:numId w:val="2"/>
        </w:numPr>
        <w:spacing w:before="120" w:after="120" w:line="276" w:lineRule="auto"/>
        <w:ind w:left="425" w:firstLine="0"/>
        <w:jc w:val="both"/>
        <w:rPr>
          <w:rFonts w:cs="Times New Roman"/>
          <w:szCs w:val="20"/>
        </w:rPr>
      </w:pPr>
      <w:r>
        <w:rPr>
          <w:rFonts w:cs="Times New Roman"/>
          <w:szCs w:val="20"/>
        </w:rPr>
        <w:t>Os serviços serão executados conforme discriminado abaixo:</w:t>
      </w:r>
    </w:p>
    <w:p>
      <w:pPr>
        <w:pStyle w:val="31"/>
        <w:numPr>
          <w:ilvl w:val="2"/>
          <w:numId w:val="2"/>
        </w:numPr>
        <w:rPr>
          <w:color w:val="auto"/>
        </w:rPr>
      </w:pPr>
      <w:r>
        <w:rPr>
          <w:color w:val="auto"/>
        </w:rPr>
        <w:t xml:space="preserve">Constituem especificações dos serviços de </w:t>
      </w:r>
      <w:r>
        <w:rPr>
          <w:color w:val="auto"/>
          <w:u w:val="single"/>
        </w:rPr>
        <w:t>limpeza, conservação e higienização</w:t>
      </w:r>
      <w:r>
        <w:rPr>
          <w:color w:val="auto"/>
        </w:rPr>
        <w:t xml:space="preserve"> durante a prestação do serviço</w:t>
      </w:r>
      <w:r>
        <w:rPr>
          <w:color w:val="auto"/>
          <w:lang w:val="pt-BR"/>
        </w:rPr>
        <w:t>:</w:t>
      </w:r>
    </w:p>
    <w:p/>
    <w:p>
      <w:pPr>
        <w:pStyle w:val="16"/>
        <w:numPr>
          <w:ilvl w:val="3"/>
          <w:numId w:val="2"/>
        </w:numPr>
        <w:tabs>
          <w:tab w:val="left" w:pos="1134"/>
        </w:tabs>
        <w:spacing w:before="120"/>
        <w:jc w:val="both"/>
        <w:rPr>
          <w:rFonts w:cs="Times New Roman"/>
          <w:b/>
          <w:bCs/>
          <w:i/>
          <w:szCs w:val="20"/>
        </w:rPr>
      </w:pPr>
      <w:r>
        <w:rPr>
          <w:b/>
          <w:snapToGrid w:val="0"/>
          <w:szCs w:val="22"/>
          <w:u w:val="single"/>
        </w:rPr>
        <w:t>DIARIAMENTE, UMA VEZ, QUANDO NÃO DEFINIDA OUTRA FREQUÊNCI</w:t>
      </w:r>
      <w:r>
        <w:rPr>
          <w:b/>
          <w:snapToGrid w:val="0"/>
          <w:szCs w:val="22"/>
          <w:u w:val="single"/>
          <w:lang w:val="pt-BR"/>
        </w:rPr>
        <w:t>A,</w:t>
      </w:r>
      <w:r>
        <w:rPr>
          <w:rFonts w:cs="Times New Roman"/>
          <w:b/>
          <w:bCs/>
          <w:i/>
          <w:szCs w:val="20"/>
          <w:lang w:val="pt-BR"/>
        </w:rPr>
        <w:t xml:space="preserve"> A periodicidade será de acordo com solicitado por cada Campus no Anexo II.</w:t>
      </w:r>
    </w:p>
    <w:p>
      <w:pPr>
        <w:pStyle w:val="16"/>
        <w:numPr>
          <w:ilvl w:val="0"/>
          <w:numId w:val="0"/>
        </w:numPr>
        <w:tabs>
          <w:tab w:val="left" w:pos="1134"/>
        </w:tabs>
        <w:spacing w:before="120"/>
        <w:ind w:left="1080" w:leftChars="0"/>
        <w:jc w:val="both"/>
        <w:rPr>
          <w:rFonts w:cs="Times New Roman"/>
          <w:i/>
          <w:szCs w:val="20"/>
        </w:rPr>
      </w:pP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Remover, com pano úmido, o pó das mesas, cadeiras, poltronas, armários, arquivos, prateleiras, persianas, peitoris, caixilhos das janelas, bem como dos demais móveis existentes, inclusive aparelhos elétricos, extintores de incêndio e outros similares;</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Remover capachos e tapetes, procedendo a sua limpeza e aspirando o pó;</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Varrer, passar pano úmido e polir os balcões e os pisos vinílicos, de mármore, cerâmicos, de marmorite e emborrachados;</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Retirar o pó dos aparelhos telefônicos e microcomputadores com flanelas e produtos adequados;</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Limpar interna e externamente o elevador com produtos adequados;</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Limpar pisos, paredes, portas, divisórias e vidros;</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Limpar e desinfetar os banheiros com saneante domissanitário e coletar o respectivo lixo, no mínimo 2 (duas) vezes por dia e sempre que se fizer necessário;</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Efetuar a lavagem de bacias, assentos e pias dos sanitários com saneante domissanitário desinfetante, no mínimo 2 (duas) vezes por dia e sempre que se fizer necessário.</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Limpar com produto adequado as mesas e os assentos do refeitório, no mínimo 2 (duas) vezes por dia e sempre que se fizer necessário;</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Limpar pias e eletrodomésticos da copa e do refeitório;</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Limpar os corrimãos;</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Retirar papéis, detritos e folhagens das áreas verdes;</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Abastecer com papel toalha os banheiros, o refeitório e a copa sempre que se fizer necessário;</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Passar pano úmido com álcool nos tampos das mesas e assentos dos refeitórios antes e após as refeições</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Abastecer com sabonete líquido e papel higiênico os banheiros sempre que se fizer necessário;</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Retirar o lixo das salas, banheiros, copa, refeitório e recepção pelo menos 2 (duas) vezes por dia e sempre que se fizer necessário;</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 xml:space="preserve">Regar todos os vasos com plantas, existentes nas dependências; </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Realizar a separação dos resíduos recicláveis na fonte geradora e a sua destinação às associações e cooperativas dos catadores de materiais recicláveis, conforme Decreto nº 5.940, de 25 de outubro de 2006, procedida pela coleta seletiva de papel para reciclagem, quando couber, nos termos da legislação vigente;</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Retirar o lixo, duas vezes ao dia, acondicionando-o em sacos plásticos de cem litros, removendo-os para local que indicado pela Administração;</w:t>
      </w:r>
    </w:p>
    <w:p>
      <w:pPr>
        <w:pStyle w:val="4"/>
        <w:numPr>
          <w:ilvl w:val="0"/>
          <w:numId w:val="3"/>
        </w:numPr>
        <w:tabs>
          <w:tab w:val="left" w:pos="1000"/>
        </w:tabs>
        <w:spacing w:before="120"/>
        <w:ind w:left="1134" w:firstLine="0"/>
        <w:jc w:val="both"/>
        <w:rPr>
          <w:rFonts w:ascii="Arial" w:hAnsi="Arial"/>
          <w:snapToGrid/>
          <w:sz w:val="20"/>
        </w:rPr>
      </w:pPr>
      <w:r>
        <w:rPr>
          <w:rFonts w:ascii="Arial" w:hAnsi="Arial"/>
          <w:snapToGrid/>
          <w:sz w:val="20"/>
        </w:rPr>
        <w:t>Irrigar diariamente os jardins no período de estiagem, ou sempre que necessário;</w:t>
      </w:r>
    </w:p>
    <w:p>
      <w:pPr>
        <w:pStyle w:val="4"/>
        <w:numPr>
          <w:ilvl w:val="0"/>
          <w:numId w:val="3"/>
        </w:numPr>
        <w:tabs>
          <w:tab w:val="left" w:pos="1134"/>
        </w:tabs>
        <w:spacing w:before="120"/>
        <w:ind w:left="1134" w:firstLine="0"/>
        <w:jc w:val="both"/>
        <w:rPr>
          <w:rFonts w:ascii="Arial" w:hAnsi="Arial"/>
          <w:snapToGrid/>
          <w:sz w:val="20"/>
        </w:rPr>
      </w:pPr>
      <w:r>
        <w:rPr>
          <w:rFonts w:ascii="Arial" w:hAnsi="Arial"/>
          <w:snapToGrid/>
          <w:sz w:val="20"/>
        </w:rPr>
        <w:t>Proceder diariamente à limpeza das áreas ajardinadas, retirando toda espécie de lixo;</w:t>
      </w:r>
    </w:p>
    <w:p>
      <w:pPr>
        <w:pStyle w:val="4"/>
        <w:numPr>
          <w:ilvl w:val="0"/>
          <w:numId w:val="3"/>
        </w:numPr>
        <w:tabs>
          <w:tab w:val="left" w:pos="1134"/>
        </w:tabs>
        <w:spacing w:before="120"/>
        <w:ind w:left="1134" w:firstLine="0"/>
        <w:jc w:val="both"/>
        <w:rPr>
          <w:rFonts w:ascii="Arial" w:hAnsi="Arial"/>
          <w:snapToGrid/>
          <w:sz w:val="20"/>
        </w:rPr>
      </w:pPr>
      <w:r>
        <w:rPr>
          <w:rFonts w:ascii="Arial" w:hAnsi="Arial"/>
          <w:snapToGrid/>
          <w:sz w:val="20"/>
        </w:rPr>
        <w:t>Suprir os bebedouros com garrafões de água mineral, adquiridos pela Administração;</w:t>
      </w:r>
    </w:p>
    <w:p>
      <w:pPr>
        <w:pStyle w:val="6"/>
        <w:numPr>
          <w:ilvl w:val="0"/>
          <w:numId w:val="3"/>
        </w:numPr>
        <w:tabs>
          <w:tab w:val="left" w:pos="1134"/>
        </w:tabs>
        <w:spacing w:before="120"/>
        <w:ind w:left="1134" w:right="0" w:firstLine="0"/>
        <w:jc w:val="both"/>
        <w:rPr>
          <w:rFonts w:ascii="Arial" w:hAnsi="Arial"/>
          <w:b w:val="0"/>
          <w:snapToGrid/>
          <w:sz w:val="20"/>
        </w:rPr>
      </w:pPr>
      <w:r>
        <w:rPr>
          <w:rFonts w:ascii="Arial" w:hAnsi="Arial"/>
          <w:b w:val="0"/>
          <w:snapToGrid/>
          <w:sz w:val="20"/>
        </w:rPr>
        <w:t>Executar os demais serviços considerados essenciais para um ambiente limpo e higienizado, não abarcados pelos itens acima, que compreendam a necessidade de uma frequência diária.</w:t>
      </w:r>
    </w:p>
    <w:p>
      <w:pPr>
        <w:pStyle w:val="6"/>
        <w:tabs>
          <w:tab w:val="left" w:pos="1134"/>
        </w:tabs>
        <w:spacing w:before="120"/>
        <w:ind w:left="1134" w:right="0"/>
        <w:jc w:val="both"/>
        <w:rPr>
          <w:rFonts w:ascii="Arial" w:hAnsi="Arial"/>
          <w:b w:val="0"/>
          <w:snapToGrid/>
          <w:sz w:val="20"/>
        </w:rPr>
      </w:pPr>
      <w:r>
        <w:rPr>
          <w:rFonts w:ascii="Arial" w:hAnsi="Arial"/>
          <w:b w:val="0"/>
          <w:snapToGrid/>
          <w:sz w:val="20"/>
        </w:rPr>
        <w:t xml:space="preserve">Obs: Caso exista sistema de coleta seletiva no </w:t>
      </w:r>
      <w:r>
        <w:rPr>
          <w:rFonts w:ascii="Arial" w:hAnsi="Arial"/>
          <w:snapToGrid/>
          <w:sz w:val="20"/>
        </w:rPr>
        <w:t>IFS</w:t>
      </w:r>
      <w:r>
        <w:rPr>
          <w:rFonts w:ascii="Arial" w:hAnsi="Arial"/>
          <w:b w:val="0"/>
          <w:snapToGrid/>
          <w:sz w:val="20"/>
        </w:rPr>
        <w:t>, os lixos deverão ser coletados e encaminhados para o sistema de coleta público separadamente, de acordo com a respectiva categoria, conforme orientações da fiscalização do contrato.</w:t>
      </w:r>
    </w:p>
    <w:p>
      <w:pPr>
        <w:pStyle w:val="6"/>
        <w:tabs>
          <w:tab w:val="left" w:pos="1134"/>
        </w:tabs>
        <w:spacing w:before="120"/>
        <w:ind w:left="1134" w:right="0"/>
        <w:jc w:val="both"/>
        <w:rPr>
          <w:rFonts w:ascii="Arial" w:hAnsi="Arial"/>
          <w:b w:val="0"/>
          <w:snapToGrid/>
          <w:sz w:val="20"/>
        </w:rPr>
      </w:pPr>
    </w:p>
    <w:p>
      <w:pPr>
        <w:pStyle w:val="16"/>
        <w:numPr>
          <w:ilvl w:val="3"/>
          <w:numId w:val="2"/>
        </w:numPr>
        <w:tabs>
          <w:tab w:val="left" w:pos="1134"/>
        </w:tabs>
        <w:spacing w:before="120"/>
        <w:jc w:val="both"/>
        <w:rPr>
          <w:b/>
          <w:bCs/>
          <w:i/>
        </w:rPr>
      </w:pPr>
      <w:r>
        <w:rPr>
          <w:rFonts w:cs="Times New Roman"/>
          <w:b/>
          <w:bCs/>
          <w:i/>
          <w:szCs w:val="20"/>
          <w:lang w:val="pt-BR"/>
        </w:rPr>
        <w:t>A periodicidade será de acordo com solicitado por cada Campus no Anexo II.</w:t>
      </w:r>
    </w:p>
    <w:p/>
    <w:p>
      <w:pPr>
        <w:pStyle w:val="6"/>
        <w:numPr>
          <w:ilvl w:val="0"/>
          <w:numId w:val="4"/>
        </w:numPr>
        <w:tabs>
          <w:tab w:val="left" w:pos="1134"/>
        </w:tabs>
        <w:spacing w:before="120"/>
        <w:ind w:left="1134" w:right="0" w:firstLine="0"/>
        <w:jc w:val="both"/>
        <w:rPr>
          <w:rFonts w:ascii="Arial" w:hAnsi="Arial"/>
          <w:b w:val="0"/>
          <w:snapToGrid/>
          <w:sz w:val="20"/>
        </w:rPr>
      </w:pPr>
      <w:r>
        <w:rPr>
          <w:rFonts w:ascii="Arial" w:hAnsi="Arial"/>
          <w:b w:val="0"/>
          <w:snapToGrid/>
          <w:sz w:val="20"/>
        </w:rPr>
        <w:t>Varrer a área externa</w:t>
      </w:r>
      <w:r>
        <w:rPr>
          <w:rFonts w:ascii="Calibri" w:hAnsi="Calibri" w:cs="Arial"/>
        </w:rPr>
        <w:t xml:space="preserve"> </w:t>
      </w:r>
      <w:r>
        <w:rPr>
          <w:rFonts w:ascii="Arial" w:hAnsi="Arial"/>
          <w:b w:val="0"/>
          <w:snapToGrid/>
          <w:sz w:val="20"/>
        </w:rPr>
        <w:t>– pisos pavimentados adjacentes/contíguos às edificações;</w:t>
      </w:r>
    </w:p>
    <w:p>
      <w:pPr>
        <w:pStyle w:val="6"/>
        <w:numPr>
          <w:ilvl w:val="0"/>
          <w:numId w:val="0"/>
        </w:numPr>
        <w:tabs>
          <w:tab w:val="left" w:pos="1134"/>
        </w:tabs>
        <w:spacing w:before="120"/>
        <w:ind w:left="1134" w:leftChars="0" w:right="0" w:rightChars="0"/>
        <w:jc w:val="both"/>
        <w:rPr>
          <w:rFonts w:ascii="Arial" w:hAnsi="Arial"/>
          <w:b w:val="0"/>
          <w:snapToGrid/>
          <w:sz w:val="20"/>
        </w:rPr>
      </w:pPr>
    </w:p>
    <w:p>
      <w:pPr>
        <w:pStyle w:val="16"/>
        <w:numPr>
          <w:ilvl w:val="3"/>
          <w:numId w:val="2"/>
        </w:numPr>
        <w:tabs>
          <w:tab w:val="left" w:pos="1134"/>
        </w:tabs>
        <w:spacing w:before="120"/>
        <w:jc w:val="both"/>
        <w:rPr>
          <w:rFonts w:cs="Times New Roman"/>
          <w:b/>
          <w:bCs/>
          <w:i/>
          <w:szCs w:val="20"/>
        </w:rPr>
      </w:pPr>
      <w:r>
        <w:rPr>
          <w:b/>
          <w:snapToGrid w:val="0"/>
          <w:szCs w:val="22"/>
          <w:u w:val="single"/>
          <w:lang w:val="pt-BR"/>
        </w:rPr>
        <w:t>SEMANAL</w:t>
      </w:r>
      <w:r>
        <w:rPr>
          <w:b/>
          <w:snapToGrid w:val="0"/>
          <w:szCs w:val="22"/>
          <w:u w:val="single"/>
        </w:rPr>
        <w:t>MENTE, UMA VEZ, QUANDO NÃO DEFINIDA OUTRA FREQUÊNCI</w:t>
      </w:r>
      <w:r>
        <w:rPr>
          <w:b/>
          <w:snapToGrid w:val="0"/>
          <w:szCs w:val="22"/>
          <w:u w:val="single"/>
          <w:lang w:val="pt-BR"/>
        </w:rPr>
        <w:t xml:space="preserve">A, </w:t>
      </w:r>
      <w:r>
        <w:rPr>
          <w:rFonts w:cs="Times New Roman"/>
          <w:b/>
          <w:bCs/>
          <w:i/>
          <w:szCs w:val="20"/>
          <w:lang w:val="pt-BR"/>
        </w:rPr>
        <w:t>A periodicidade será de acordo com solicitado por cada Campus no Anexo II.</w:t>
      </w:r>
    </w:p>
    <w:p>
      <w:pPr>
        <w:pStyle w:val="6"/>
        <w:numPr>
          <w:ilvl w:val="0"/>
          <w:numId w:val="5"/>
        </w:numPr>
        <w:tabs>
          <w:tab w:val="left" w:pos="1134"/>
        </w:tabs>
        <w:spacing w:before="120"/>
        <w:ind w:left="1134" w:right="0" w:firstLine="0"/>
        <w:jc w:val="both"/>
        <w:rPr>
          <w:rFonts w:ascii="Arial" w:hAnsi="Arial"/>
          <w:b w:val="0"/>
          <w:snapToGrid/>
          <w:sz w:val="20"/>
        </w:rPr>
      </w:pPr>
      <w:r>
        <w:rPr>
          <w:rFonts w:ascii="Arial" w:hAnsi="Arial"/>
          <w:b w:val="0"/>
          <w:snapToGrid/>
          <w:sz w:val="20"/>
        </w:rPr>
        <w:t>Limpar atrás dos móveis, armários e arquivos;</w:t>
      </w:r>
    </w:p>
    <w:p>
      <w:pPr>
        <w:pStyle w:val="6"/>
        <w:numPr>
          <w:ilvl w:val="0"/>
          <w:numId w:val="5"/>
        </w:numPr>
        <w:tabs>
          <w:tab w:val="left" w:pos="1134"/>
        </w:tabs>
        <w:spacing w:before="120"/>
        <w:ind w:left="1134" w:right="0" w:firstLine="0"/>
        <w:jc w:val="both"/>
        <w:rPr>
          <w:rFonts w:ascii="Arial" w:hAnsi="Arial"/>
          <w:b w:val="0"/>
          <w:snapToGrid/>
          <w:sz w:val="20"/>
        </w:rPr>
      </w:pPr>
      <w:r>
        <w:rPr>
          <w:rFonts w:ascii="Arial" w:hAnsi="Arial"/>
          <w:b w:val="0"/>
          <w:snapToGrid/>
          <w:sz w:val="20"/>
        </w:rPr>
        <w:t>Limpar, com produtos adequados, divisórias e portas revestidas de fórmica;</w:t>
      </w:r>
    </w:p>
    <w:p>
      <w:pPr>
        <w:pStyle w:val="6"/>
        <w:numPr>
          <w:ilvl w:val="0"/>
          <w:numId w:val="5"/>
        </w:numPr>
        <w:tabs>
          <w:tab w:val="left" w:pos="1134"/>
        </w:tabs>
        <w:spacing w:before="120"/>
        <w:ind w:left="1134" w:right="0" w:firstLine="0"/>
        <w:jc w:val="both"/>
        <w:rPr>
          <w:rFonts w:ascii="Arial" w:hAnsi="Arial"/>
          <w:b w:val="0"/>
          <w:snapToGrid/>
          <w:sz w:val="20"/>
        </w:rPr>
      </w:pPr>
      <w:r>
        <w:rPr>
          <w:rFonts w:ascii="Arial" w:hAnsi="Arial"/>
          <w:b w:val="0"/>
          <w:snapToGrid/>
          <w:sz w:val="20"/>
        </w:rPr>
        <w:t>Limpar, com produto neutro, portas, barras e batentes pintados à óleo ou verniz sintético;</w:t>
      </w:r>
    </w:p>
    <w:p>
      <w:pPr>
        <w:pStyle w:val="6"/>
        <w:numPr>
          <w:ilvl w:val="0"/>
          <w:numId w:val="5"/>
        </w:numPr>
        <w:tabs>
          <w:tab w:val="left" w:pos="1134"/>
        </w:tabs>
        <w:spacing w:before="120"/>
        <w:ind w:left="1134" w:right="0" w:firstLine="0"/>
        <w:jc w:val="both"/>
        <w:rPr>
          <w:rFonts w:ascii="Arial" w:hAnsi="Arial"/>
          <w:b w:val="0"/>
          <w:snapToGrid/>
          <w:sz w:val="20"/>
        </w:rPr>
      </w:pPr>
      <w:r>
        <w:rPr>
          <w:rFonts w:ascii="Arial" w:hAnsi="Arial"/>
          <w:b w:val="0"/>
          <w:snapToGrid/>
          <w:sz w:val="20"/>
        </w:rPr>
        <w:t>Lustrar todo o mobiliário envernizado com produto adequado e passar flanela nos móveis encerados;</w:t>
      </w:r>
    </w:p>
    <w:p>
      <w:pPr>
        <w:pStyle w:val="6"/>
        <w:numPr>
          <w:ilvl w:val="0"/>
          <w:numId w:val="5"/>
        </w:numPr>
        <w:tabs>
          <w:tab w:val="left" w:pos="1134"/>
        </w:tabs>
        <w:spacing w:before="120"/>
        <w:ind w:left="1134" w:right="0" w:firstLine="0"/>
        <w:jc w:val="both"/>
        <w:rPr>
          <w:rFonts w:ascii="Arial" w:hAnsi="Arial"/>
          <w:b w:val="0"/>
          <w:snapToGrid/>
          <w:sz w:val="20"/>
        </w:rPr>
      </w:pPr>
      <w:r>
        <w:rPr>
          <w:rFonts w:ascii="Arial" w:hAnsi="Arial"/>
          <w:b w:val="0"/>
          <w:snapToGrid/>
          <w:sz w:val="20"/>
        </w:rPr>
        <w:t>Limpar, com produto apropriado, as forrações de couro ou plástico em assentos e poltronas;</w:t>
      </w:r>
    </w:p>
    <w:p>
      <w:pPr>
        <w:pStyle w:val="6"/>
        <w:numPr>
          <w:ilvl w:val="0"/>
          <w:numId w:val="5"/>
        </w:numPr>
        <w:tabs>
          <w:tab w:val="left" w:pos="1134"/>
        </w:tabs>
        <w:spacing w:before="120"/>
        <w:ind w:left="1134" w:right="0" w:firstLine="0"/>
        <w:jc w:val="both"/>
        <w:rPr>
          <w:rFonts w:ascii="Arial" w:hAnsi="Arial"/>
          <w:b w:val="0"/>
          <w:snapToGrid/>
          <w:sz w:val="20"/>
        </w:rPr>
      </w:pPr>
      <w:r>
        <w:rPr>
          <w:rFonts w:ascii="Arial" w:hAnsi="Arial"/>
          <w:b w:val="0"/>
          <w:snapToGrid/>
          <w:sz w:val="20"/>
        </w:rPr>
        <w:t>Retirar manchas de pisos, paredes, divisórias, portas e vidros;</w:t>
      </w:r>
    </w:p>
    <w:p>
      <w:pPr>
        <w:pStyle w:val="6"/>
        <w:numPr>
          <w:ilvl w:val="0"/>
          <w:numId w:val="5"/>
        </w:numPr>
        <w:tabs>
          <w:tab w:val="left" w:pos="1134"/>
        </w:tabs>
        <w:spacing w:before="120"/>
        <w:ind w:left="1134" w:right="0" w:firstLine="0"/>
        <w:jc w:val="both"/>
        <w:rPr>
          <w:rFonts w:ascii="Arial" w:hAnsi="Arial"/>
          <w:b w:val="0"/>
          <w:snapToGrid/>
          <w:sz w:val="20"/>
        </w:rPr>
      </w:pPr>
      <w:r>
        <w:rPr>
          <w:rFonts w:ascii="Arial" w:hAnsi="Arial"/>
          <w:b w:val="0"/>
          <w:snapToGrid/>
          <w:sz w:val="20"/>
        </w:rPr>
        <w:t>Lustrar todo mobiliário envernizado e encerado;</w:t>
      </w:r>
    </w:p>
    <w:p>
      <w:pPr>
        <w:pStyle w:val="6"/>
        <w:numPr>
          <w:ilvl w:val="0"/>
          <w:numId w:val="5"/>
        </w:numPr>
        <w:tabs>
          <w:tab w:val="left" w:pos="1134"/>
        </w:tabs>
        <w:spacing w:before="120"/>
        <w:ind w:left="1134" w:right="0" w:firstLine="0"/>
        <w:jc w:val="both"/>
        <w:rPr>
          <w:rFonts w:ascii="Arial" w:hAnsi="Arial"/>
          <w:b w:val="0"/>
          <w:snapToGrid/>
          <w:sz w:val="20"/>
        </w:rPr>
      </w:pPr>
      <w:r>
        <w:rPr>
          <w:rFonts w:ascii="Arial" w:hAnsi="Arial"/>
          <w:b w:val="0"/>
          <w:snapToGrid/>
          <w:sz w:val="20"/>
        </w:rPr>
        <w:t>Limpar e polir todos os metais, como válvulas, registros, sifões, fechaduras, dentre outros;</w:t>
      </w:r>
    </w:p>
    <w:p>
      <w:pPr>
        <w:pStyle w:val="6"/>
        <w:numPr>
          <w:ilvl w:val="0"/>
          <w:numId w:val="5"/>
        </w:numPr>
        <w:tabs>
          <w:tab w:val="left" w:pos="1134"/>
        </w:tabs>
        <w:spacing w:before="120"/>
        <w:ind w:left="1134" w:right="0" w:firstLine="0"/>
        <w:jc w:val="both"/>
        <w:rPr>
          <w:rFonts w:ascii="Arial" w:hAnsi="Arial"/>
          <w:b w:val="0"/>
          <w:snapToGrid/>
          <w:sz w:val="20"/>
        </w:rPr>
      </w:pPr>
      <w:r>
        <w:rPr>
          <w:rFonts w:ascii="Arial" w:hAnsi="Arial"/>
          <w:b w:val="0"/>
          <w:snapToGrid/>
          <w:sz w:val="20"/>
        </w:rPr>
        <w:t>Lavar os balcões e os pisos vinílicos com detergente, encerar e lustrar;</w:t>
      </w:r>
    </w:p>
    <w:p>
      <w:pPr>
        <w:pStyle w:val="6"/>
        <w:numPr>
          <w:ilvl w:val="0"/>
          <w:numId w:val="5"/>
        </w:numPr>
        <w:tabs>
          <w:tab w:val="left" w:pos="1134"/>
        </w:tabs>
        <w:spacing w:before="120"/>
        <w:ind w:left="1134" w:right="0" w:firstLine="0"/>
        <w:jc w:val="both"/>
        <w:rPr>
          <w:rFonts w:ascii="Arial" w:hAnsi="Arial"/>
          <w:b w:val="0"/>
          <w:snapToGrid/>
          <w:sz w:val="20"/>
        </w:rPr>
      </w:pPr>
      <w:r>
        <w:rPr>
          <w:rFonts w:ascii="Arial" w:hAnsi="Arial"/>
          <w:b w:val="0"/>
          <w:snapToGrid/>
          <w:sz w:val="20"/>
        </w:rPr>
        <w:t>Passar pano úmido com saneantes domissanitários ou álcool nos telefones;</w:t>
      </w:r>
    </w:p>
    <w:p>
      <w:pPr>
        <w:pStyle w:val="6"/>
        <w:numPr>
          <w:ilvl w:val="0"/>
          <w:numId w:val="5"/>
        </w:numPr>
        <w:tabs>
          <w:tab w:val="left" w:pos="1134"/>
        </w:tabs>
        <w:spacing w:before="120"/>
        <w:ind w:left="1134" w:right="0" w:firstLine="0"/>
        <w:jc w:val="both"/>
        <w:rPr>
          <w:rFonts w:ascii="Arial" w:hAnsi="Arial"/>
          <w:b w:val="0"/>
          <w:snapToGrid/>
          <w:sz w:val="20"/>
        </w:rPr>
      </w:pPr>
      <w:r>
        <w:rPr>
          <w:rFonts w:ascii="Arial" w:hAnsi="Arial"/>
          <w:b w:val="0"/>
          <w:snapToGrid/>
          <w:sz w:val="20"/>
        </w:rPr>
        <w:t>Limpar os espelhos, com pano umedecido em álcool, 3 (três) vezes por semana  e sempre que se fizer necessário;</w:t>
      </w:r>
    </w:p>
    <w:p>
      <w:pPr>
        <w:pStyle w:val="6"/>
        <w:numPr>
          <w:ilvl w:val="0"/>
          <w:numId w:val="5"/>
        </w:numPr>
        <w:tabs>
          <w:tab w:val="left" w:pos="1134"/>
        </w:tabs>
        <w:spacing w:before="120"/>
        <w:ind w:left="1134" w:right="0" w:firstLine="0"/>
        <w:jc w:val="both"/>
        <w:rPr>
          <w:rFonts w:ascii="Arial" w:hAnsi="Arial"/>
          <w:b w:val="0"/>
          <w:snapToGrid/>
          <w:sz w:val="20"/>
        </w:rPr>
      </w:pPr>
      <w:r>
        <w:rPr>
          <w:rFonts w:ascii="Arial" w:hAnsi="Arial"/>
          <w:b w:val="0"/>
          <w:snapToGrid/>
          <w:sz w:val="20"/>
        </w:rPr>
        <w:t>Retirar o pó e os resíduos dos quadros em geral;</w:t>
      </w:r>
    </w:p>
    <w:p>
      <w:pPr>
        <w:pStyle w:val="6"/>
        <w:numPr>
          <w:ilvl w:val="0"/>
          <w:numId w:val="5"/>
        </w:numPr>
        <w:tabs>
          <w:tab w:val="left" w:pos="1134"/>
        </w:tabs>
        <w:spacing w:before="120" w:after="120" w:line="276" w:lineRule="auto"/>
        <w:ind w:left="1134" w:right="0" w:firstLine="0"/>
        <w:jc w:val="both"/>
        <w:rPr>
          <w:rFonts w:ascii="Arial" w:hAnsi="Arial"/>
          <w:b w:val="0"/>
          <w:snapToGrid/>
          <w:sz w:val="20"/>
        </w:rPr>
      </w:pPr>
      <w:r>
        <w:rPr>
          <w:rFonts w:ascii="Arial" w:hAnsi="Arial"/>
          <w:b w:val="0"/>
          <w:snapToGrid/>
          <w:sz w:val="20"/>
        </w:rPr>
        <w:t>Remover os tapetes para efetuar sua limpeza;</w:t>
      </w:r>
    </w:p>
    <w:p>
      <w:pPr>
        <w:pStyle w:val="6"/>
        <w:numPr>
          <w:ilvl w:val="0"/>
          <w:numId w:val="5"/>
        </w:numPr>
        <w:tabs>
          <w:tab w:val="left" w:pos="1134"/>
        </w:tabs>
        <w:spacing w:before="120" w:after="120" w:line="276" w:lineRule="auto"/>
        <w:ind w:left="1134" w:right="0" w:firstLine="0"/>
        <w:jc w:val="both"/>
        <w:rPr>
          <w:rFonts w:ascii="Arial" w:hAnsi="Arial"/>
          <w:b w:val="0"/>
          <w:snapToGrid/>
          <w:sz w:val="20"/>
        </w:rPr>
      </w:pPr>
      <w:r>
        <w:rPr>
          <w:rFonts w:ascii="Arial" w:hAnsi="Arial"/>
          <w:b w:val="0"/>
          <w:snapToGrid/>
          <w:sz w:val="20"/>
        </w:rPr>
        <w:t>Limpar os vidros e as fachadas envidraçadas (face interna/externa);</w:t>
      </w:r>
    </w:p>
    <w:p>
      <w:pPr>
        <w:pStyle w:val="6"/>
        <w:numPr>
          <w:ilvl w:val="0"/>
          <w:numId w:val="5"/>
        </w:numPr>
        <w:tabs>
          <w:tab w:val="left" w:pos="993"/>
          <w:tab w:val="left" w:pos="1134"/>
        </w:tabs>
        <w:spacing w:before="120"/>
        <w:ind w:left="1134" w:right="0" w:firstLine="0"/>
        <w:jc w:val="both"/>
        <w:rPr>
          <w:rFonts w:ascii="Arial" w:hAnsi="Arial"/>
          <w:b w:val="0"/>
          <w:snapToGrid/>
          <w:sz w:val="20"/>
        </w:rPr>
      </w:pPr>
      <w:r>
        <w:rPr>
          <w:rFonts w:ascii="Arial" w:hAnsi="Arial"/>
          <w:b w:val="0"/>
          <w:snapToGrid/>
          <w:sz w:val="20"/>
        </w:rPr>
        <w:t>Lavar com saneante domissanitário a copa e o refeitório;</w:t>
      </w:r>
    </w:p>
    <w:p>
      <w:pPr>
        <w:pStyle w:val="6"/>
        <w:numPr>
          <w:ilvl w:val="0"/>
          <w:numId w:val="5"/>
        </w:numPr>
        <w:tabs>
          <w:tab w:val="left" w:pos="1134"/>
        </w:tabs>
        <w:spacing w:before="120"/>
        <w:ind w:left="1134" w:right="0" w:firstLine="0"/>
        <w:jc w:val="both"/>
        <w:rPr>
          <w:rFonts w:ascii="Arial" w:hAnsi="Arial"/>
          <w:b w:val="0"/>
          <w:snapToGrid/>
          <w:sz w:val="20"/>
        </w:rPr>
      </w:pPr>
      <w:r>
        <w:rPr>
          <w:rFonts w:ascii="Arial" w:hAnsi="Arial"/>
          <w:b w:val="0"/>
          <w:snapToGrid/>
          <w:sz w:val="20"/>
        </w:rPr>
        <w:t>Executar os demais serviços considerados essenciais para um ambiente limpo e higienizado, não abarcados pelos itens acima, que compreendam a necessidade de uma frequência semanal.</w:t>
      </w:r>
    </w:p>
    <w:p>
      <w:pPr>
        <w:pStyle w:val="6"/>
        <w:numPr>
          <w:ilvl w:val="0"/>
          <w:numId w:val="0"/>
        </w:numPr>
        <w:tabs>
          <w:tab w:val="left" w:pos="1134"/>
        </w:tabs>
        <w:spacing w:before="120"/>
        <w:ind w:left="1134" w:leftChars="0" w:right="0" w:rightChars="0"/>
        <w:jc w:val="both"/>
        <w:rPr>
          <w:rFonts w:ascii="Arial" w:hAnsi="Arial"/>
          <w:b w:val="0"/>
          <w:snapToGrid/>
          <w:sz w:val="20"/>
        </w:rPr>
      </w:pPr>
    </w:p>
    <w:p>
      <w:pPr>
        <w:pStyle w:val="16"/>
        <w:numPr>
          <w:ilvl w:val="3"/>
          <w:numId w:val="2"/>
        </w:numPr>
        <w:tabs>
          <w:tab w:val="left" w:pos="1134"/>
        </w:tabs>
        <w:spacing w:before="120"/>
        <w:jc w:val="both"/>
        <w:rPr>
          <w:rFonts w:cs="Times New Roman"/>
          <w:b/>
          <w:bCs/>
          <w:i/>
          <w:szCs w:val="20"/>
        </w:rPr>
      </w:pPr>
      <w:r>
        <w:rPr>
          <w:rFonts w:cs="Times New Roman"/>
          <w:b/>
          <w:bCs/>
          <w:i/>
          <w:szCs w:val="20"/>
          <w:lang w:val="pt-BR"/>
        </w:rPr>
        <w:t>A periodicidade será de acordo com solicitado por cada Campus no Anexo II.</w:t>
      </w:r>
    </w:p>
    <w:p>
      <w:pPr>
        <w:pStyle w:val="16"/>
        <w:numPr>
          <w:ilvl w:val="0"/>
          <w:numId w:val="0"/>
        </w:numPr>
        <w:tabs>
          <w:tab w:val="left" w:pos="1134"/>
        </w:tabs>
        <w:spacing w:before="120"/>
        <w:ind w:left="1080" w:leftChars="0"/>
        <w:jc w:val="both"/>
        <w:rPr>
          <w:rFonts w:cs="Times New Roman"/>
          <w:i/>
          <w:szCs w:val="20"/>
        </w:rPr>
      </w:pPr>
    </w:p>
    <w:p>
      <w:pPr>
        <w:pStyle w:val="16"/>
        <w:numPr>
          <w:ilvl w:val="0"/>
          <w:numId w:val="6"/>
        </w:numPr>
        <w:spacing w:before="120" w:after="120" w:line="23" w:lineRule="atLeast"/>
        <w:ind w:left="1134" w:firstLine="0"/>
        <w:rPr>
          <w:rFonts w:cs="Times New Roman"/>
          <w:szCs w:val="20"/>
        </w:rPr>
      </w:pPr>
      <w:r>
        <w:rPr>
          <w:rFonts w:cs="Times New Roman"/>
          <w:szCs w:val="20"/>
        </w:rPr>
        <w:t>Varrer área destinada a garagem e estacionamento.</w:t>
      </w:r>
    </w:p>
    <w:p>
      <w:pPr>
        <w:pStyle w:val="16"/>
        <w:numPr>
          <w:ilvl w:val="0"/>
          <w:numId w:val="0"/>
        </w:numPr>
        <w:spacing w:before="120" w:after="120" w:line="23" w:lineRule="atLeast"/>
        <w:ind w:left="1134" w:leftChars="0"/>
        <w:rPr>
          <w:rFonts w:cs="Times New Roman"/>
          <w:szCs w:val="20"/>
        </w:rPr>
      </w:pPr>
    </w:p>
    <w:p>
      <w:pPr>
        <w:pStyle w:val="16"/>
        <w:numPr>
          <w:ilvl w:val="3"/>
          <w:numId w:val="2"/>
        </w:numPr>
        <w:tabs>
          <w:tab w:val="left" w:pos="1134"/>
        </w:tabs>
        <w:spacing w:before="120"/>
        <w:jc w:val="both"/>
        <w:rPr>
          <w:rFonts w:cs="Times New Roman"/>
          <w:b/>
          <w:bCs w:val="0"/>
          <w:i/>
          <w:szCs w:val="20"/>
        </w:rPr>
      </w:pPr>
      <w:r>
        <w:rPr>
          <w:b/>
          <w:bCs w:val="0"/>
          <w:i/>
        </w:rPr>
        <w:t>Mensalmente:</w:t>
      </w:r>
    </w:p>
    <w:p>
      <w:pPr>
        <w:pStyle w:val="6"/>
        <w:numPr>
          <w:ilvl w:val="0"/>
          <w:numId w:val="7"/>
        </w:numPr>
        <w:tabs>
          <w:tab w:val="left" w:pos="993"/>
          <w:tab w:val="left" w:pos="1134"/>
        </w:tabs>
        <w:spacing w:before="120"/>
        <w:ind w:left="1134" w:right="0" w:firstLine="0"/>
        <w:jc w:val="both"/>
        <w:rPr>
          <w:rFonts w:ascii="Arial" w:hAnsi="Arial"/>
          <w:b w:val="0"/>
          <w:snapToGrid/>
          <w:sz w:val="20"/>
        </w:rPr>
      </w:pPr>
      <w:r>
        <w:rPr>
          <w:rFonts w:ascii="Arial" w:hAnsi="Arial"/>
          <w:b w:val="0"/>
          <w:snapToGrid/>
          <w:sz w:val="20"/>
        </w:rPr>
        <w:t>Proceder à limpeza completa de todo o auditório, envolvendo carpete, cadeiras, balcão, paredes, portas e demais móveis/equipamentos que o compõem;</w:t>
      </w:r>
    </w:p>
    <w:p>
      <w:pPr>
        <w:pStyle w:val="6"/>
        <w:numPr>
          <w:ilvl w:val="0"/>
          <w:numId w:val="7"/>
        </w:numPr>
        <w:tabs>
          <w:tab w:val="left" w:pos="993"/>
          <w:tab w:val="left" w:pos="1134"/>
        </w:tabs>
        <w:spacing w:before="120"/>
        <w:ind w:left="1134" w:right="0" w:firstLine="0"/>
        <w:jc w:val="both"/>
        <w:rPr>
          <w:rFonts w:ascii="Arial" w:hAnsi="Arial"/>
          <w:b w:val="0"/>
          <w:snapToGrid/>
          <w:sz w:val="20"/>
        </w:rPr>
      </w:pPr>
      <w:r>
        <w:rPr>
          <w:rFonts w:ascii="Arial" w:hAnsi="Arial"/>
          <w:b w:val="0"/>
          <w:snapToGrid/>
          <w:sz w:val="20"/>
        </w:rPr>
        <w:t>Limpar livros e periódicos, estantes e armários pertencentes à biblioteca;</w:t>
      </w:r>
    </w:p>
    <w:p>
      <w:pPr>
        <w:pStyle w:val="6"/>
        <w:numPr>
          <w:ilvl w:val="0"/>
          <w:numId w:val="7"/>
        </w:numPr>
        <w:tabs>
          <w:tab w:val="left" w:pos="993"/>
          <w:tab w:val="left" w:pos="1134"/>
        </w:tabs>
        <w:spacing w:before="120"/>
        <w:ind w:left="1134" w:right="0" w:firstLine="0"/>
        <w:jc w:val="both"/>
        <w:rPr>
          <w:rFonts w:ascii="Arial" w:hAnsi="Arial"/>
          <w:b w:val="0"/>
          <w:snapToGrid/>
          <w:sz w:val="20"/>
        </w:rPr>
      </w:pPr>
      <w:r>
        <w:rPr>
          <w:rFonts w:ascii="Arial" w:hAnsi="Arial"/>
          <w:b w:val="0"/>
          <w:snapToGrid/>
          <w:sz w:val="20"/>
        </w:rPr>
        <w:t>Limpar todas as luminárias por dentro e por fora;</w:t>
      </w:r>
    </w:p>
    <w:p>
      <w:pPr>
        <w:pStyle w:val="6"/>
        <w:numPr>
          <w:ilvl w:val="0"/>
          <w:numId w:val="7"/>
        </w:numPr>
        <w:tabs>
          <w:tab w:val="left" w:pos="993"/>
          <w:tab w:val="left" w:pos="1134"/>
        </w:tabs>
        <w:spacing w:before="120"/>
        <w:ind w:left="1134" w:right="0" w:firstLine="0"/>
        <w:jc w:val="both"/>
        <w:rPr>
          <w:rFonts w:ascii="Arial" w:hAnsi="Arial"/>
          <w:b w:val="0"/>
          <w:snapToGrid/>
          <w:sz w:val="20"/>
        </w:rPr>
      </w:pPr>
      <w:r>
        <w:rPr>
          <w:rFonts w:ascii="Arial" w:hAnsi="Arial"/>
          <w:b w:val="0"/>
          <w:snapToGrid/>
          <w:sz w:val="20"/>
        </w:rPr>
        <w:t>Limpar forros, paredes e rodapés;</w:t>
      </w:r>
    </w:p>
    <w:p>
      <w:pPr>
        <w:pStyle w:val="6"/>
        <w:numPr>
          <w:ilvl w:val="0"/>
          <w:numId w:val="7"/>
        </w:numPr>
        <w:tabs>
          <w:tab w:val="left" w:pos="993"/>
          <w:tab w:val="left" w:pos="1134"/>
        </w:tabs>
        <w:spacing w:before="120"/>
        <w:ind w:left="1134" w:right="0" w:firstLine="0"/>
        <w:jc w:val="both"/>
        <w:rPr>
          <w:rFonts w:ascii="Arial" w:hAnsi="Arial"/>
          <w:b w:val="0"/>
          <w:snapToGrid/>
          <w:sz w:val="20"/>
        </w:rPr>
      </w:pPr>
      <w:r>
        <w:rPr>
          <w:rFonts w:ascii="Arial" w:hAnsi="Arial"/>
          <w:b w:val="0"/>
          <w:snapToGrid/>
          <w:sz w:val="20"/>
        </w:rPr>
        <w:t>Limpar persianas com produtos adequados;</w:t>
      </w:r>
    </w:p>
    <w:p>
      <w:pPr>
        <w:pStyle w:val="6"/>
        <w:numPr>
          <w:ilvl w:val="0"/>
          <w:numId w:val="7"/>
        </w:numPr>
        <w:tabs>
          <w:tab w:val="left" w:pos="993"/>
          <w:tab w:val="left" w:pos="1134"/>
        </w:tabs>
        <w:spacing w:before="120"/>
        <w:ind w:left="1134" w:right="0" w:firstLine="0"/>
        <w:jc w:val="both"/>
        <w:rPr>
          <w:rFonts w:ascii="Arial" w:hAnsi="Arial"/>
          <w:b w:val="0"/>
          <w:snapToGrid/>
          <w:sz w:val="20"/>
        </w:rPr>
      </w:pPr>
      <w:r>
        <w:rPr>
          <w:rFonts w:ascii="Arial" w:hAnsi="Arial"/>
          <w:b w:val="0"/>
          <w:snapToGrid/>
          <w:sz w:val="20"/>
        </w:rPr>
        <w:t>Remover manchas de paredes;</w:t>
      </w:r>
    </w:p>
    <w:p>
      <w:pPr>
        <w:pStyle w:val="6"/>
        <w:numPr>
          <w:ilvl w:val="0"/>
          <w:numId w:val="7"/>
        </w:numPr>
        <w:tabs>
          <w:tab w:val="left" w:pos="993"/>
          <w:tab w:val="left" w:pos="1134"/>
        </w:tabs>
        <w:spacing w:before="120"/>
        <w:ind w:left="1134" w:right="0" w:firstLine="0"/>
        <w:jc w:val="both"/>
        <w:rPr>
          <w:rFonts w:ascii="Arial" w:hAnsi="Arial"/>
          <w:b w:val="0"/>
          <w:snapToGrid/>
          <w:sz w:val="20"/>
        </w:rPr>
      </w:pPr>
      <w:r>
        <w:rPr>
          <w:rFonts w:ascii="Arial" w:hAnsi="Arial"/>
          <w:b w:val="0"/>
          <w:snapToGrid/>
          <w:sz w:val="20"/>
        </w:rPr>
        <w:t>Limpar, engraxar e lubrificar portas, grades, basculantes, caixilhos, janelas de ferro e outros similares;</w:t>
      </w:r>
    </w:p>
    <w:p>
      <w:pPr>
        <w:pStyle w:val="6"/>
        <w:numPr>
          <w:ilvl w:val="0"/>
          <w:numId w:val="7"/>
        </w:numPr>
        <w:tabs>
          <w:tab w:val="left" w:pos="993"/>
          <w:tab w:val="left" w:pos="1134"/>
        </w:tabs>
        <w:spacing w:before="120"/>
        <w:ind w:left="1134" w:right="0" w:firstLine="0"/>
        <w:jc w:val="both"/>
        <w:rPr>
          <w:rFonts w:ascii="Arial" w:hAnsi="Arial"/>
          <w:b w:val="0"/>
          <w:snapToGrid/>
          <w:sz w:val="20"/>
        </w:rPr>
      </w:pPr>
      <w:r>
        <w:rPr>
          <w:rFonts w:ascii="Arial" w:hAnsi="Arial"/>
          <w:b w:val="0"/>
          <w:snapToGrid/>
          <w:sz w:val="20"/>
        </w:rPr>
        <w:t>Lavar o terraço e a área destinada à garagem/estacionamento;</w:t>
      </w:r>
    </w:p>
    <w:p>
      <w:pPr>
        <w:pStyle w:val="6"/>
        <w:numPr>
          <w:ilvl w:val="0"/>
          <w:numId w:val="7"/>
        </w:numPr>
        <w:tabs>
          <w:tab w:val="left" w:pos="993"/>
          <w:tab w:val="left" w:pos="1134"/>
        </w:tabs>
        <w:spacing w:before="120"/>
        <w:ind w:left="1134" w:right="0" w:firstLine="0"/>
        <w:jc w:val="both"/>
        <w:rPr>
          <w:rFonts w:ascii="Arial" w:hAnsi="Arial"/>
          <w:b w:val="0"/>
          <w:snapToGrid/>
          <w:sz w:val="20"/>
        </w:rPr>
      </w:pPr>
      <w:r>
        <w:rPr>
          <w:rFonts w:ascii="Arial" w:hAnsi="Arial"/>
          <w:b w:val="0"/>
          <w:snapToGrid/>
          <w:sz w:val="20"/>
        </w:rPr>
        <w:t>Limpar e/ou lavar a área que abriga a central de ar condicionado e o depósito;</w:t>
      </w:r>
    </w:p>
    <w:p>
      <w:pPr>
        <w:pStyle w:val="6"/>
        <w:numPr>
          <w:ilvl w:val="0"/>
          <w:numId w:val="7"/>
        </w:numPr>
        <w:tabs>
          <w:tab w:val="left" w:pos="993"/>
          <w:tab w:val="left" w:pos="1134"/>
        </w:tabs>
        <w:spacing w:before="120"/>
        <w:ind w:left="1134" w:right="0" w:firstLine="0"/>
        <w:jc w:val="both"/>
        <w:rPr>
          <w:rFonts w:ascii="Arial" w:hAnsi="Arial"/>
          <w:b w:val="0"/>
          <w:snapToGrid/>
          <w:sz w:val="20"/>
        </w:rPr>
      </w:pPr>
      <w:r>
        <w:rPr>
          <w:rFonts w:ascii="Arial" w:hAnsi="Arial"/>
          <w:b w:val="0"/>
          <w:snapToGrid/>
          <w:sz w:val="20"/>
        </w:rPr>
        <w:t xml:space="preserve">Proceder a capina e a roçada, retirar de toda área externa, plantas desnecessárias, cortar grama e podar árvores que estejam impedindo a passagem de pessoas. </w:t>
      </w:r>
    </w:p>
    <w:p>
      <w:pPr>
        <w:pStyle w:val="6"/>
        <w:numPr>
          <w:ilvl w:val="0"/>
          <w:numId w:val="7"/>
        </w:numPr>
        <w:tabs>
          <w:tab w:val="left" w:pos="993"/>
          <w:tab w:val="left" w:pos="1134"/>
        </w:tabs>
        <w:spacing w:before="120"/>
        <w:ind w:left="1134" w:right="0" w:firstLine="0"/>
        <w:jc w:val="both"/>
        <w:rPr>
          <w:rFonts w:ascii="Arial" w:hAnsi="Arial"/>
          <w:b w:val="0"/>
          <w:snapToGrid/>
          <w:sz w:val="20"/>
        </w:rPr>
      </w:pPr>
      <w:r>
        <w:rPr>
          <w:rFonts w:ascii="Arial" w:hAnsi="Arial"/>
          <w:b w:val="0"/>
          <w:snapToGrid/>
          <w:sz w:val="20"/>
        </w:rPr>
        <w:t>Efetuar revisão minuciosa de todos os serviços prestados durante o mês;</w:t>
      </w:r>
    </w:p>
    <w:p>
      <w:pPr>
        <w:pStyle w:val="6"/>
        <w:numPr>
          <w:ilvl w:val="0"/>
          <w:numId w:val="7"/>
        </w:numPr>
        <w:tabs>
          <w:tab w:val="left" w:pos="993"/>
          <w:tab w:val="left" w:pos="1134"/>
        </w:tabs>
        <w:spacing w:before="120"/>
        <w:ind w:left="1134" w:right="0" w:firstLine="0"/>
        <w:jc w:val="both"/>
        <w:rPr>
          <w:rFonts w:ascii="Arial" w:hAnsi="Arial"/>
          <w:b w:val="0"/>
          <w:snapToGrid/>
          <w:sz w:val="20"/>
        </w:rPr>
      </w:pPr>
      <w:r>
        <w:rPr>
          <w:rFonts w:ascii="Arial" w:hAnsi="Arial"/>
          <w:b w:val="0"/>
          <w:snapToGrid/>
          <w:sz w:val="20"/>
        </w:rPr>
        <w:t>Executar os demais serviços considerados essenciais para um ambiente limpo e higienizado, não abarcados pelos itens acima, que compreendam a necessidade de uma frequência mensal.</w:t>
      </w:r>
    </w:p>
    <w:p>
      <w:pPr>
        <w:pStyle w:val="16"/>
        <w:numPr>
          <w:ilvl w:val="0"/>
          <w:numId w:val="7"/>
        </w:numPr>
        <w:spacing w:before="120" w:after="120" w:line="23" w:lineRule="atLeast"/>
        <w:ind w:firstLine="775"/>
        <w:rPr>
          <w:rFonts w:cs="Times New Roman"/>
          <w:szCs w:val="20"/>
        </w:rPr>
      </w:pPr>
      <w:r>
        <w:rPr>
          <w:rFonts w:cs="Times New Roman"/>
          <w:szCs w:val="20"/>
        </w:rPr>
        <w:t>Limpar todos os vidros (face interna/externa), aplicando produtos antiembaçantes;</w:t>
      </w:r>
    </w:p>
    <w:p>
      <w:pPr>
        <w:pStyle w:val="16"/>
        <w:numPr>
          <w:ilvl w:val="0"/>
          <w:numId w:val="0"/>
        </w:numPr>
        <w:spacing w:before="120" w:after="120" w:line="23" w:lineRule="atLeast"/>
        <w:contextualSpacing/>
        <w:rPr>
          <w:rFonts w:cs="Times New Roman"/>
          <w:szCs w:val="20"/>
        </w:rPr>
      </w:pPr>
    </w:p>
    <w:p>
      <w:pPr>
        <w:pStyle w:val="16"/>
        <w:numPr>
          <w:ilvl w:val="0"/>
          <w:numId w:val="0"/>
        </w:numPr>
        <w:spacing w:before="120" w:after="120" w:line="23" w:lineRule="atLeast"/>
        <w:contextualSpacing/>
        <w:rPr>
          <w:rFonts w:cs="Times New Roman"/>
          <w:szCs w:val="20"/>
        </w:rPr>
      </w:pPr>
    </w:p>
    <w:p>
      <w:pPr>
        <w:pStyle w:val="16"/>
        <w:pageBreakBefore w:val="0"/>
        <w:widowControl/>
        <w:numPr>
          <w:ilvl w:val="3"/>
          <w:numId w:val="2"/>
        </w:numPr>
        <w:tabs>
          <w:tab w:val="left" w:pos="1134"/>
        </w:tabs>
        <w:kinsoku/>
        <w:wordWrap/>
        <w:overflowPunct/>
        <w:topLinePunct w:val="0"/>
        <w:autoSpaceDE/>
        <w:autoSpaceDN/>
        <w:bidi w:val="0"/>
        <w:adjustRightInd/>
        <w:snapToGrid/>
        <w:spacing w:after="181" w:afterLines="50" w:line="240" w:lineRule="auto"/>
        <w:ind w:right="0" w:rightChars="0"/>
        <w:jc w:val="both"/>
        <w:textAlignment w:val="auto"/>
        <w:rPr>
          <w:b/>
          <w:bCs/>
          <w:i/>
        </w:rPr>
      </w:pPr>
      <w:r>
        <w:rPr>
          <w:b/>
          <w:bCs/>
          <w:i/>
        </w:rPr>
        <w:t>Semestralmente, duas vezes, quando necessário:</w:t>
      </w:r>
    </w:p>
    <w:p>
      <w:pPr>
        <w:pStyle w:val="31"/>
        <w:pageBreakBefore w:val="0"/>
        <w:widowControl/>
        <w:numPr>
          <w:ilvl w:val="0"/>
          <w:numId w:val="8"/>
        </w:numPr>
        <w:kinsoku/>
        <w:wordWrap/>
        <w:overflowPunct/>
        <w:topLinePunct w:val="0"/>
        <w:autoSpaceDE/>
        <w:autoSpaceDN/>
        <w:bidi w:val="0"/>
        <w:adjustRightInd/>
        <w:snapToGrid/>
        <w:spacing w:before="0" w:after="181" w:afterLines="50" w:line="240" w:lineRule="auto"/>
        <w:ind w:right="0" w:rightChars="0"/>
        <w:jc w:val="both"/>
        <w:textAlignment w:val="auto"/>
        <w:rPr>
          <w:b w:val="0"/>
        </w:rPr>
      </w:pPr>
      <w:r>
        <w:rPr>
          <w:b w:val="0"/>
        </w:rPr>
        <w:t>Pintura com cal, do meio-fio e caixas de esgotos e águas pluviais, limpezas das bocas de lobo no complexo;</w:t>
      </w:r>
    </w:p>
    <w:p>
      <w:pPr>
        <w:pStyle w:val="16"/>
        <w:numPr>
          <w:ilvl w:val="0"/>
          <w:numId w:val="8"/>
        </w:numPr>
        <w:spacing w:before="120" w:after="120"/>
        <w:ind w:left="1690" w:hanging="556"/>
      </w:pPr>
      <w:r>
        <w:t>Realizar dedetização;</w:t>
      </w:r>
    </w:p>
    <w:p>
      <w:pPr>
        <w:pStyle w:val="16"/>
        <w:numPr>
          <w:ilvl w:val="0"/>
          <w:numId w:val="8"/>
        </w:numPr>
        <w:spacing w:before="120" w:after="120"/>
        <w:ind w:left="1690" w:hanging="556"/>
      </w:pPr>
      <w:r>
        <w:t>Limpeza dos reservatórios de água inferiores e superiores dos prédios, remover a lama depositada e desinfetá-las, utilizando material para higienização.</w:t>
      </w:r>
    </w:p>
    <w:p>
      <w:pPr>
        <w:pStyle w:val="31"/>
        <w:keepNext w:val="0"/>
        <w:keepLines w:val="0"/>
        <w:numPr>
          <w:ilvl w:val="3"/>
          <w:numId w:val="2"/>
        </w:numPr>
        <w:spacing w:before="120"/>
        <w:ind w:left="1134" w:firstLine="0"/>
        <w:rPr>
          <w:b w:val="0"/>
        </w:rPr>
      </w:pPr>
      <w:r>
        <w:rPr>
          <w:b w:val="0"/>
        </w:rPr>
        <w:t>O rol de tarefas e de periodicidade listado nos itens acima é apenas exemplificativo, podendo ser exigidas outras atividades não constantes nele, bem como uma frequência diferenciada daquela determinada, em razão de necessidade e de adequação dos serviços, para que estes atendam a contento a demanda existente.</w:t>
      </w:r>
    </w:p>
    <w:p>
      <w:pPr>
        <w:pStyle w:val="31"/>
        <w:keepNext w:val="0"/>
        <w:keepLines w:val="0"/>
        <w:numPr>
          <w:ilvl w:val="3"/>
          <w:numId w:val="2"/>
        </w:numPr>
        <w:spacing w:before="120"/>
        <w:ind w:left="1134" w:firstLine="0"/>
        <w:rPr>
          <w:b w:val="0"/>
        </w:rPr>
      </w:pPr>
      <w:r>
        <w:rPr>
          <w:b w:val="0"/>
        </w:rPr>
        <w:t>Os produtos a serem utilizados deverão observar os cuidados de conservação de todo os bens móveis e imóveis que compõem o patrimônio do IFS</w:t>
      </w:r>
      <w:r>
        <w:rPr>
          <w:b w:val="0"/>
          <w:lang w:val="pt-BR"/>
        </w:rPr>
        <w:t>.</w:t>
      </w:r>
    </w:p>
    <w:p>
      <w:pPr>
        <w:pStyle w:val="31"/>
        <w:keepNext w:val="0"/>
        <w:keepLines w:val="0"/>
        <w:numPr>
          <w:ilvl w:val="3"/>
          <w:numId w:val="2"/>
        </w:numPr>
        <w:spacing w:before="120"/>
        <w:ind w:hanging="594"/>
        <w:rPr>
          <w:b w:val="0"/>
        </w:rPr>
      </w:pPr>
      <w:r>
        <w:rPr>
          <w:b w:val="0"/>
        </w:rPr>
        <w:t>Deverão ser utilizados produtos inodoros ou de odor agradável e suave.</w:t>
      </w:r>
    </w:p>
    <w:p>
      <w:pPr>
        <w:pStyle w:val="31"/>
        <w:keepNext w:val="0"/>
        <w:keepLines w:val="0"/>
        <w:numPr>
          <w:ilvl w:val="3"/>
          <w:numId w:val="2"/>
        </w:numPr>
      </w:pPr>
      <w:r>
        <w:t xml:space="preserve">Da dedetização: </w:t>
      </w:r>
    </w:p>
    <w:p>
      <w:pPr>
        <w:pStyle w:val="31"/>
        <w:keepNext w:val="0"/>
        <w:keepLines w:val="0"/>
        <w:numPr>
          <w:ilvl w:val="3"/>
          <w:numId w:val="2"/>
        </w:numPr>
        <w:rPr>
          <w:b w:val="0"/>
        </w:rPr>
      </w:pPr>
      <w:r>
        <w:rPr>
          <w:b w:val="0"/>
        </w:rPr>
        <w:t>Os serviços serão executados uma vez a cada semestre, com reforço após 03 (três) meses de cada aplicação;</w:t>
      </w:r>
    </w:p>
    <w:p>
      <w:pPr>
        <w:pStyle w:val="31"/>
        <w:keepNext w:val="0"/>
        <w:keepLines w:val="0"/>
        <w:numPr>
          <w:ilvl w:val="3"/>
          <w:numId w:val="2"/>
        </w:numPr>
      </w:pPr>
      <w:r>
        <w:rPr>
          <w:b w:val="0"/>
        </w:rPr>
        <w:t>O inicio dos serviços será sempre previamente agendado com a Coordenadoria de Gestão e Administração da contratante, com antecedência mínima de 07 (sete) dias. A prestação dos serviços será realizada fora do horário comercial; os materiais a serem empregados na execução dos serviços deverão ser de primeira qualidade, apropriadas para eliminação de insetos e aracnídeos, em especial escorpiões, traças</w:t>
      </w:r>
      <w:r>
        <w:t xml:space="preserve">, </w:t>
      </w:r>
      <w:r>
        <w:rPr>
          <w:b w:val="0"/>
        </w:rPr>
        <w:t>piolhos de pássaros e roedores;</w:t>
      </w:r>
    </w:p>
    <w:p>
      <w:pPr>
        <w:pStyle w:val="16"/>
        <w:widowControl w:val="0"/>
        <w:numPr>
          <w:ilvl w:val="3"/>
          <w:numId w:val="2"/>
        </w:numPr>
        <w:spacing w:before="120" w:after="120" w:line="360" w:lineRule="auto"/>
        <w:jc w:val="both"/>
        <w:rPr>
          <w:rFonts w:cs="Times New Roman"/>
          <w:color w:val="000000"/>
          <w:szCs w:val="20"/>
        </w:rPr>
      </w:pPr>
      <w:r>
        <w:rPr>
          <w:rFonts w:cs="Times New Roman"/>
          <w:color w:val="000000"/>
          <w:szCs w:val="20"/>
        </w:rPr>
        <w:t>Será necessário dispensar tratamento especial para pragas de formigas e cupins que infestam principalmente na área externa. Os produtos não poderão causar danos à saúde humana</w:t>
      </w:r>
    </w:p>
    <w:p>
      <w:pPr>
        <w:pStyle w:val="31"/>
        <w:keepNext w:val="0"/>
        <w:keepLines w:val="0"/>
        <w:numPr>
          <w:ilvl w:val="3"/>
          <w:numId w:val="2"/>
        </w:numPr>
        <w:spacing w:line="23" w:lineRule="atLeast"/>
      </w:pPr>
      <w:r>
        <w:t>Do método de combate:</w:t>
      </w:r>
    </w:p>
    <w:p>
      <w:pPr>
        <w:widowControl w:val="0"/>
        <w:spacing w:before="120" w:after="120" w:line="23" w:lineRule="atLeast"/>
        <w:ind w:left="1418"/>
        <w:jc w:val="both"/>
        <w:rPr>
          <w:rFonts w:cs="Times New Roman"/>
          <w:color w:val="000000"/>
          <w:szCs w:val="20"/>
        </w:rPr>
      </w:pPr>
      <w:r>
        <w:rPr>
          <w:rFonts w:cs="Times New Roman"/>
          <w:color w:val="000000"/>
          <w:szCs w:val="20"/>
        </w:rPr>
        <w:t xml:space="preserve">a) </w:t>
      </w:r>
      <w:r>
        <w:rPr>
          <w:rFonts w:cs="Times New Roman"/>
          <w:color w:val="000000"/>
          <w:szCs w:val="20"/>
        </w:rPr>
        <w:tab/>
      </w:r>
      <w:r>
        <w:rPr>
          <w:rFonts w:cs="Times New Roman"/>
          <w:color w:val="000000"/>
          <w:szCs w:val="20"/>
        </w:rPr>
        <w:t>DESINSETIZAÇÃO: Através de bombas especiais de alta pressão, sistemas de Spray (liquido); Fog (fumaça); Polvilhamento (pó) e Vapor (atomização). No caso da utilização do sistema “Fog”, a LICITANTE VENCEDORA deverá comunicar ao Corpo de Bombeiros de SE, o seu uso e data de seu emprego.</w:t>
      </w:r>
    </w:p>
    <w:p>
      <w:pPr>
        <w:widowControl w:val="0"/>
        <w:spacing w:before="120" w:after="120" w:line="23" w:lineRule="atLeast"/>
        <w:ind w:left="1418"/>
        <w:jc w:val="both"/>
        <w:rPr>
          <w:rFonts w:cs="Times New Roman"/>
          <w:color w:val="000000"/>
          <w:szCs w:val="20"/>
        </w:rPr>
      </w:pPr>
      <w:r>
        <w:rPr>
          <w:rFonts w:cs="Times New Roman"/>
          <w:color w:val="000000"/>
          <w:szCs w:val="20"/>
        </w:rPr>
        <w:t xml:space="preserve">b) </w:t>
      </w:r>
      <w:r>
        <w:rPr>
          <w:rFonts w:cs="Times New Roman"/>
          <w:color w:val="000000"/>
          <w:szCs w:val="20"/>
        </w:rPr>
        <w:tab/>
      </w:r>
      <w:r>
        <w:rPr>
          <w:rFonts w:cs="Times New Roman"/>
          <w:color w:val="000000"/>
          <w:szCs w:val="20"/>
        </w:rPr>
        <w:t>DESRATIZAÇÃO: Através de Iscas parafinadas ou politizadas e Pó de Contato colocadas em todas as áreas e pontos necessários que constituem  foco, não acessíveis ao contato humano.</w:t>
      </w:r>
    </w:p>
    <w:p>
      <w:pPr>
        <w:widowControl w:val="0"/>
        <w:spacing w:before="120" w:after="120" w:line="23" w:lineRule="atLeast"/>
        <w:ind w:left="1418"/>
        <w:jc w:val="both"/>
        <w:rPr>
          <w:rFonts w:cs="Times New Roman"/>
          <w:color w:val="000000"/>
          <w:szCs w:val="20"/>
        </w:rPr>
      </w:pPr>
      <w:r>
        <w:rPr>
          <w:rFonts w:cs="Times New Roman"/>
          <w:color w:val="000000"/>
          <w:szCs w:val="20"/>
        </w:rPr>
        <w:t xml:space="preserve">c) </w:t>
      </w:r>
      <w:r>
        <w:rPr>
          <w:rFonts w:cs="Times New Roman"/>
          <w:color w:val="000000"/>
          <w:szCs w:val="20"/>
        </w:rPr>
        <w:tab/>
      </w:r>
      <w:r>
        <w:rPr>
          <w:rFonts w:cs="Times New Roman"/>
          <w:color w:val="000000"/>
          <w:szCs w:val="20"/>
        </w:rPr>
        <w:t>AFASTAMENTO DE POMBOS E PARDAIS: Através de Gel próprio, uma espécie de cola, incolor e sem cheiro, a ser explicado nos locais onde há pombos e pardais.  O produto não poderá causar danos, doenças ou mesmo a morte das aves, bem como não poderá trazer riscos à saúde das pessoas.</w:t>
      </w:r>
    </w:p>
    <w:p>
      <w:pPr>
        <w:widowControl w:val="0"/>
        <w:spacing w:before="120" w:after="120" w:line="23" w:lineRule="atLeast"/>
        <w:ind w:left="1418"/>
        <w:jc w:val="both"/>
        <w:rPr>
          <w:rFonts w:cs="Times New Roman"/>
          <w:color w:val="000000"/>
          <w:szCs w:val="20"/>
        </w:rPr>
      </w:pPr>
      <w:r>
        <w:rPr>
          <w:rFonts w:cs="Times New Roman"/>
          <w:color w:val="000000"/>
          <w:szCs w:val="20"/>
        </w:rPr>
        <w:t xml:space="preserve">d) </w:t>
      </w:r>
      <w:r>
        <w:rPr>
          <w:rFonts w:cs="Times New Roman"/>
          <w:color w:val="000000"/>
          <w:szCs w:val="20"/>
        </w:rPr>
        <w:tab/>
      </w:r>
      <w:r>
        <w:rPr>
          <w:rFonts w:cs="Times New Roman"/>
          <w:color w:val="000000"/>
          <w:szCs w:val="20"/>
        </w:rPr>
        <w:t>DESCUPINIZAÇÃO: Através de produtos químicos apropriados e licenciados. O produto não devera causar danos ou doenças.</w:t>
      </w:r>
    </w:p>
    <w:p>
      <w:pPr>
        <w:pStyle w:val="31"/>
        <w:keepNext w:val="0"/>
        <w:keepLines w:val="0"/>
        <w:numPr>
          <w:ilvl w:val="3"/>
          <w:numId w:val="2"/>
        </w:numPr>
        <w:spacing w:after="480" w:line="23" w:lineRule="atLeast"/>
      </w:pPr>
      <w:r>
        <w:t>Das técnicas de aplicação:</w:t>
      </w:r>
    </w:p>
    <w:p>
      <w:pPr>
        <w:widowControl w:val="0"/>
        <w:spacing w:before="120" w:after="120" w:line="23" w:lineRule="atLeast"/>
        <w:ind w:left="1418"/>
        <w:jc w:val="both"/>
        <w:rPr>
          <w:rFonts w:cs="Times New Roman"/>
          <w:color w:val="000000"/>
          <w:szCs w:val="20"/>
        </w:rPr>
      </w:pPr>
      <w:r>
        <w:rPr>
          <w:rFonts w:cs="Times New Roman"/>
          <w:color w:val="000000"/>
          <w:szCs w:val="20"/>
        </w:rPr>
        <w:t xml:space="preserve">a) </w:t>
      </w:r>
      <w:r>
        <w:rPr>
          <w:rFonts w:cs="Times New Roman"/>
          <w:color w:val="000000"/>
          <w:szCs w:val="20"/>
        </w:rPr>
        <w:tab/>
      </w:r>
      <w:r>
        <w:rPr>
          <w:rFonts w:cs="Times New Roman"/>
          <w:color w:val="000000"/>
          <w:szCs w:val="20"/>
        </w:rPr>
        <w:t>PULVERIZAÇÃO: Emprego de produtos usando bomba de alta pressão, com pulverização em leque, atingindo 360° de amplitude, de forma a penetrar em todas as frestas e esconderijos de insetos.</w:t>
      </w:r>
    </w:p>
    <w:p>
      <w:pPr>
        <w:widowControl w:val="0"/>
        <w:spacing w:before="120" w:after="120" w:line="23" w:lineRule="atLeast"/>
        <w:ind w:left="1418"/>
        <w:jc w:val="both"/>
        <w:rPr>
          <w:rFonts w:cs="Times New Roman"/>
          <w:color w:val="000000"/>
          <w:szCs w:val="20"/>
        </w:rPr>
      </w:pPr>
      <w:r>
        <w:rPr>
          <w:rFonts w:cs="Times New Roman"/>
          <w:color w:val="000000"/>
          <w:szCs w:val="20"/>
        </w:rPr>
        <w:t xml:space="preserve">b) </w:t>
      </w:r>
      <w:r>
        <w:rPr>
          <w:rFonts w:cs="Times New Roman"/>
          <w:color w:val="000000"/>
          <w:szCs w:val="20"/>
        </w:rPr>
        <w:tab/>
      </w:r>
      <w:r>
        <w:rPr>
          <w:rFonts w:cs="Times New Roman"/>
          <w:color w:val="000000"/>
          <w:szCs w:val="20"/>
        </w:rPr>
        <w:t>VAPORIZAÇÃO: Utilização de equipamentos específicos que alcançam insetos aéreos.</w:t>
      </w:r>
    </w:p>
    <w:p>
      <w:pPr>
        <w:widowControl w:val="0"/>
        <w:spacing w:before="120" w:after="120" w:line="23" w:lineRule="atLeast"/>
        <w:ind w:left="1418"/>
        <w:jc w:val="both"/>
        <w:rPr>
          <w:rFonts w:cs="Times New Roman"/>
          <w:color w:val="000000"/>
          <w:szCs w:val="20"/>
        </w:rPr>
      </w:pPr>
      <w:r>
        <w:rPr>
          <w:rFonts w:cs="Times New Roman"/>
          <w:color w:val="000000"/>
          <w:szCs w:val="20"/>
        </w:rPr>
        <w:t xml:space="preserve">c) </w:t>
      </w:r>
      <w:r>
        <w:rPr>
          <w:rFonts w:cs="Times New Roman"/>
          <w:color w:val="000000"/>
          <w:szCs w:val="20"/>
        </w:rPr>
        <w:tab/>
      </w:r>
      <w:r>
        <w:rPr>
          <w:rFonts w:cs="Times New Roman"/>
          <w:color w:val="000000"/>
          <w:szCs w:val="20"/>
        </w:rPr>
        <w:t>TERMONEBULIZAÇÃO: Divisão de partículas químicas em sub partículas, para áreas de difícil acesso.</w:t>
      </w:r>
    </w:p>
    <w:p>
      <w:pPr>
        <w:widowControl w:val="0"/>
        <w:spacing w:before="120" w:after="120" w:line="23" w:lineRule="atLeast"/>
        <w:ind w:left="1418"/>
        <w:jc w:val="both"/>
        <w:rPr>
          <w:rFonts w:cs="Times New Roman"/>
          <w:color w:val="000000"/>
          <w:szCs w:val="20"/>
        </w:rPr>
      </w:pPr>
      <w:r>
        <w:rPr>
          <w:rFonts w:cs="Times New Roman"/>
          <w:color w:val="000000"/>
          <w:szCs w:val="20"/>
        </w:rPr>
        <w:t xml:space="preserve">d) </w:t>
      </w:r>
      <w:r>
        <w:rPr>
          <w:rFonts w:cs="Times New Roman"/>
          <w:color w:val="000000"/>
          <w:szCs w:val="20"/>
        </w:rPr>
        <w:tab/>
      </w:r>
      <w:r>
        <w:rPr>
          <w:rFonts w:cs="Times New Roman"/>
          <w:color w:val="000000"/>
          <w:szCs w:val="20"/>
        </w:rPr>
        <w:t>ISCAGEM: Para controle de roedores, de ação cumulativa, aplicadas em áreas secas tendo como principio ativo ácido bórico.</w:t>
      </w:r>
    </w:p>
    <w:p>
      <w:pPr>
        <w:widowControl w:val="0"/>
        <w:spacing w:before="120" w:after="120" w:line="23" w:lineRule="atLeast"/>
        <w:ind w:left="1418"/>
        <w:jc w:val="both"/>
        <w:rPr>
          <w:rFonts w:cs="Times New Roman"/>
          <w:color w:val="000000"/>
          <w:szCs w:val="20"/>
        </w:rPr>
      </w:pPr>
      <w:r>
        <w:rPr>
          <w:rFonts w:cs="Times New Roman"/>
          <w:color w:val="000000"/>
          <w:szCs w:val="20"/>
        </w:rPr>
        <w:t xml:space="preserve">e) </w:t>
      </w:r>
      <w:r>
        <w:rPr>
          <w:rFonts w:cs="Times New Roman"/>
          <w:color w:val="000000"/>
          <w:szCs w:val="20"/>
        </w:rPr>
        <w:tab/>
      </w:r>
      <w:r>
        <w:rPr>
          <w:rFonts w:cs="Times New Roman"/>
          <w:color w:val="000000"/>
          <w:szCs w:val="20"/>
        </w:rPr>
        <w:t>GEL: Inseticida á base de hidrometilona, empregados em locais  que inviabilizam a aplicação liquida.</w:t>
      </w:r>
    </w:p>
    <w:p>
      <w:pPr>
        <w:widowControl w:val="0"/>
        <w:spacing w:before="120" w:after="120" w:line="23" w:lineRule="atLeast"/>
        <w:ind w:left="1418"/>
        <w:jc w:val="both"/>
        <w:rPr>
          <w:rFonts w:cs="Times New Roman"/>
          <w:color w:val="000000"/>
          <w:szCs w:val="20"/>
        </w:rPr>
      </w:pPr>
      <w:r>
        <w:rPr>
          <w:rFonts w:cs="Times New Roman"/>
          <w:color w:val="000000"/>
          <w:szCs w:val="20"/>
        </w:rPr>
        <w:t xml:space="preserve">f) </w:t>
      </w:r>
      <w:r>
        <w:rPr>
          <w:rFonts w:cs="Times New Roman"/>
          <w:color w:val="000000"/>
          <w:szCs w:val="20"/>
        </w:rPr>
        <w:tab/>
      </w:r>
      <w:r>
        <w:rPr>
          <w:rFonts w:cs="Times New Roman"/>
          <w:color w:val="000000"/>
          <w:szCs w:val="20"/>
        </w:rPr>
        <w:t>GEL PARA AVES: Espécie de cola, incolor e inodora a ser aplicada nos locais onde os pombos e pardais pousem, em forma de zingue-zangues.</w:t>
      </w:r>
    </w:p>
    <w:p>
      <w:pPr>
        <w:widowControl w:val="0"/>
        <w:spacing w:before="120" w:after="120" w:line="23" w:lineRule="atLeast"/>
        <w:ind w:left="1418"/>
        <w:jc w:val="both"/>
        <w:rPr>
          <w:rFonts w:cs="Times New Roman"/>
          <w:color w:val="000000"/>
          <w:szCs w:val="20"/>
        </w:rPr>
      </w:pPr>
      <w:r>
        <w:rPr>
          <w:rFonts w:cs="Times New Roman"/>
          <w:color w:val="000000"/>
          <w:szCs w:val="20"/>
        </w:rPr>
        <w:t xml:space="preserve">g) </w:t>
      </w:r>
      <w:r>
        <w:rPr>
          <w:rFonts w:cs="Times New Roman"/>
          <w:color w:val="000000"/>
          <w:szCs w:val="20"/>
        </w:rPr>
        <w:tab/>
      </w:r>
      <w:r>
        <w:rPr>
          <w:rFonts w:cs="Times New Roman"/>
          <w:color w:val="000000"/>
          <w:szCs w:val="20"/>
        </w:rPr>
        <w:t>DIACAP: Biocida micro encapsulado utilizado no combate a escorpiões.</w:t>
      </w:r>
    </w:p>
    <w:p>
      <w:pPr>
        <w:pStyle w:val="31"/>
        <w:keepNext w:val="0"/>
        <w:keepLines w:val="0"/>
        <w:numPr>
          <w:ilvl w:val="3"/>
          <w:numId w:val="2"/>
        </w:numPr>
        <w:spacing w:after="480" w:line="23" w:lineRule="atLeast"/>
        <w:rPr>
          <w:b w:val="0"/>
        </w:rPr>
      </w:pPr>
      <w:r>
        <w:rPr>
          <w:b w:val="0"/>
        </w:rPr>
        <w:t>Das características e toxidade dos produtos:</w:t>
      </w:r>
    </w:p>
    <w:p>
      <w:pPr>
        <w:pStyle w:val="16"/>
        <w:widowControl w:val="0"/>
        <w:numPr>
          <w:ilvl w:val="0"/>
          <w:numId w:val="9"/>
        </w:numPr>
        <w:suppressAutoHyphens/>
        <w:spacing w:before="120" w:after="120" w:line="23" w:lineRule="atLeast"/>
        <w:ind w:left="1418" w:firstLine="0"/>
        <w:jc w:val="both"/>
        <w:rPr>
          <w:rFonts w:cs="Times New Roman"/>
          <w:color w:val="000000"/>
          <w:szCs w:val="20"/>
        </w:rPr>
      </w:pPr>
      <w:r>
        <w:rPr>
          <w:rFonts w:cs="Times New Roman"/>
          <w:color w:val="000000"/>
          <w:szCs w:val="20"/>
        </w:rPr>
        <w:t>DESINTETIZAÇÃO: Produtos de tecnologia moderna, domissanitario, com registro no GGSAN (Gerência Geral de Saneantes do Ministério da Saúde), foto estável, não corrosivo, incolor, baixo odor, ação toxica de baixo risco ao ser humano, classe toxicológica II,inseticida de amplo espectro acaricida, com acentuado efeito fulminante (Knox Down ) de longo efeito residual, tendo por principio ativo o Diclorvós 2.0% tendo como antídoto o “Sulfato de Atropina”.</w:t>
      </w:r>
    </w:p>
    <w:p>
      <w:pPr>
        <w:pStyle w:val="16"/>
        <w:widowControl w:val="0"/>
        <w:numPr>
          <w:ilvl w:val="0"/>
          <w:numId w:val="9"/>
        </w:numPr>
        <w:suppressAutoHyphens/>
        <w:spacing w:before="120" w:after="120" w:line="23" w:lineRule="atLeast"/>
        <w:ind w:left="1418" w:firstLine="0"/>
        <w:jc w:val="both"/>
        <w:rPr>
          <w:rFonts w:cs="Times New Roman"/>
          <w:color w:val="000000"/>
          <w:szCs w:val="20"/>
        </w:rPr>
      </w:pPr>
      <w:r>
        <w:rPr>
          <w:rFonts w:cs="Times New Roman"/>
          <w:color w:val="000000"/>
          <w:szCs w:val="20"/>
        </w:rPr>
        <w:t>DESRATIZAÇÃO: Todos os produtos utilizados de efeito anticoagulante, de dose única, de segunda geração a base de Brodifacoum (derivado de Hidroxicumarina), classe toxicológica III, 0,005% DL 50, agudo oral 0,22-0,27 Mg/Kg (ratos), sendo antídoto a Vitamina K1 injetável (Fitomenadiona ou Kanakion), todas as iscas contendo Britex, substância  amarga ao paladar humano ,utilizada para prevenir a ingestão acidental.</w:t>
      </w:r>
    </w:p>
    <w:p>
      <w:pPr>
        <w:pStyle w:val="16"/>
        <w:keepLines/>
        <w:widowControl w:val="0"/>
        <w:numPr>
          <w:ilvl w:val="0"/>
          <w:numId w:val="10"/>
        </w:numPr>
        <w:spacing w:before="120" w:after="120" w:line="23" w:lineRule="atLeast"/>
        <w:jc w:val="both"/>
        <w:rPr>
          <w:rFonts w:cs="Times New Roman"/>
          <w:vanish/>
          <w:color w:val="000000"/>
          <w:sz w:val="10"/>
          <w:szCs w:val="10"/>
        </w:rPr>
      </w:pPr>
    </w:p>
    <w:p>
      <w:pPr>
        <w:pStyle w:val="16"/>
        <w:keepLines/>
        <w:widowControl w:val="0"/>
        <w:numPr>
          <w:ilvl w:val="0"/>
          <w:numId w:val="10"/>
        </w:numPr>
        <w:spacing w:before="120" w:after="120" w:line="23" w:lineRule="atLeast"/>
        <w:jc w:val="both"/>
        <w:rPr>
          <w:rFonts w:cs="Times New Roman"/>
          <w:vanish/>
          <w:color w:val="000000"/>
          <w:sz w:val="10"/>
          <w:szCs w:val="10"/>
        </w:rPr>
      </w:pPr>
    </w:p>
    <w:p>
      <w:pPr>
        <w:pStyle w:val="16"/>
        <w:keepLines/>
        <w:widowControl w:val="0"/>
        <w:numPr>
          <w:ilvl w:val="0"/>
          <w:numId w:val="10"/>
        </w:numPr>
        <w:spacing w:before="120" w:after="120" w:line="23" w:lineRule="atLeast"/>
        <w:jc w:val="both"/>
        <w:rPr>
          <w:rFonts w:cs="Times New Roman"/>
          <w:vanish/>
          <w:color w:val="000000"/>
          <w:sz w:val="10"/>
          <w:szCs w:val="10"/>
        </w:rPr>
      </w:pPr>
    </w:p>
    <w:p>
      <w:pPr>
        <w:pStyle w:val="16"/>
        <w:keepLines/>
        <w:widowControl w:val="0"/>
        <w:numPr>
          <w:ilvl w:val="0"/>
          <w:numId w:val="10"/>
        </w:numPr>
        <w:spacing w:before="120" w:after="120" w:line="23" w:lineRule="atLeast"/>
        <w:jc w:val="both"/>
        <w:rPr>
          <w:rFonts w:cs="Times New Roman"/>
          <w:vanish/>
          <w:color w:val="000000"/>
          <w:sz w:val="10"/>
          <w:szCs w:val="10"/>
        </w:rPr>
      </w:pPr>
    </w:p>
    <w:p>
      <w:pPr>
        <w:pStyle w:val="16"/>
        <w:keepLines/>
        <w:widowControl w:val="0"/>
        <w:numPr>
          <w:ilvl w:val="1"/>
          <w:numId w:val="10"/>
        </w:numPr>
        <w:spacing w:before="120" w:after="120" w:line="23" w:lineRule="atLeast"/>
        <w:jc w:val="both"/>
        <w:rPr>
          <w:rFonts w:cs="Times New Roman"/>
          <w:vanish/>
          <w:color w:val="000000"/>
          <w:sz w:val="10"/>
          <w:szCs w:val="10"/>
        </w:rPr>
      </w:pPr>
    </w:p>
    <w:p>
      <w:pPr>
        <w:pStyle w:val="16"/>
        <w:keepLines/>
        <w:widowControl w:val="0"/>
        <w:numPr>
          <w:ilvl w:val="2"/>
          <w:numId w:val="10"/>
        </w:numPr>
        <w:spacing w:before="120" w:after="120" w:line="23" w:lineRule="atLeast"/>
        <w:jc w:val="both"/>
        <w:rPr>
          <w:rFonts w:cs="Times New Roman"/>
          <w:vanish/>
          <w:color w:val="000000"/>
          <w:sz w:val="10"/>
          <w:szCs w:val="10"/>
        </w:rPr>
      </w:pPr>
    </w:p>
    <w:p>
      <w:pPr>
        <w:pStyle w:val="16"/>
        <w:keepLines/>
        <w:widowControl w:val="0"/>
        <w:numPr>
          <w:ilvl w:val="3"/>
          <w:numId w:val="10"/>
        </w:numPr>
        <w:spacing w:before="120" w:after="120" w:line="23" w:lineRule="atLeast"/>
        <w:jc w:val="both"/>
        <w:rPr>
          <w:rFonts w:cs="Times New Roman"/>
          <w:vanish/>
          <w:color w:val="000000"/>
          <w:sz w:val="10"/>
          <w:szCs w:val="10"/>
        </w:rPr>
      </w:pPr>
    </w:p>
    <w:p>
      <w:pPr>
        <w:pStyle w:val="16"/>
        <w:keepLines/>
        <w:widowControl w:val="0"/>
        <w:numPr>
          <w:ilvl w:val="3"/>
          <w:numId w:val="10"/>
        </w:numPr>
        <w:spacing w:before="120" w:after="120" w:line="23" w:lineRule="atLeast"/>
        <w:jc w:val="both"/>
        <w:rPr>
          <w:rFonts w:cs="Times New Roman"/>
          <w:vanish/>
          <w:color w:val="000000"/>
          <w:sz w:val="10"/>
          <w:szCs w:val="10"/>
        </w:rPr>
      </w:pPr>
    </w:p>
    <w:p>
      <w:pPr>
        <w:pStyle w:val="16"/>
        <w:keepLines/>
        <w:widowControl w:val="0"/>
        <w:numPr>
          <w:ilvl w:val="3"/>
          <w:numId w:val="10"/>
        </w:numPr>
        <w:spacing w:before="120" w:after="120" w:line="23" w:lineRule="atLeast"/>
        <w:jc w:val="both"/>
        <w:rPr>
          <w:rFonts w:cs="Times New Roman"/>
          <w:vanish/>
          <w:color w:val="000000"/>
          <w:sz w:val="10"/>
          <w:szCs w:val="10"/>
        </w:rPr>
      </w:pPr>
    </w:p>
    <w:p>
      <w:pPr>
        <w:pStyle w:val="16"/>
        <w:keepLines/>
        <w:widowControl w:val="0"/>
        <w:numPr>
          <w:ilvl w:val="3"/>
          <w:numId w:val="10"/>
        </w:numPr>
        <w:spacing w:before="120" w:after="120" w:line="23" w:lineRule="atLeast"/>
        <w:jc w:val="both"/>
        <w:rPr>
          <w:rFonts w:cs="Times New Roman"/>
          <w:vanish/>
          <w:color w:val="000000"/>
          <w:sz w:val="10"/>
          <w:szCs w:val="10"/>
        </w:rPr>
      </w:pPr>
    </w:p>
    <w:p>
      <w:pPr>
        <w:pStyle w:val="16"/>
        <w:keepLines/>
        <w:widowControl w:val="0"/>
        <w:numPr>
          <w:ilvl w:val="3"/>
          <w:numId w:val="10"/>
        </w:numPr>
        <w:spacing w:before="120" w:after="120" w:line="23" w:lineRule="atLeast"/>
        <w:jc w:val="both"/>
        <w:rPr>
          <w:rFonts w:cs="Times New Roman"/>
          <w:vanish/>
          <w:color w:val="000000"/>
          <w:sz w:val="10"/>
          <w:szCs w:val="10"/>
        </w:rPr>
      </w:pPr>
    </w:p>
    <w:p>
      <w:pPr>
        <w:pStyle w:val="16"/>
        <w:keepLines/>
        <w:widowControl w:val="0"/>
        <w:numPr>
          <w:ilvl w:val="3"/>
          <w:numId w:val="10"/>
        </w:numPr>
        <w:spacing w:before="120" w:after="120" w:line="23" w:lineRule="atLeast"/>
        <w:jc w:val="both"/>
        <w:rPr>
          <w:rFonts w:cs="Times New Roman"/>
          <w:vanish/>
          <w:color w:val="000000"/>
          <w:sz w:val="10"/>
          <w:szCs w:val="10"/>
        </w:rPr>
      </w:pPr>
    </w:p>
    <w:p>
      <w:pPr>
        <w:pStyle w:val="16"/>
        <w:keepLines/>
        <w:widowControl w:val="0"/>
        <w:numPr>
          <w:ilvl w:val="3"/>
          <w:numId w:val="10"/>
        </w:numPr>
        <w:spacing w:before="120" w:after="120" w:line="23" w:lineRule="atLeast"/>
        <w:jc w:val="both"/>
        <w:rPr>
          <w:rFonts w:cs="Times New Roman"/>
          <w:vanish/>
          <w:color w:val="000000"/>
          <w:sz w:val="10"/>
          <w:szCs w:val="10"/>
        </w:rPr>
      </w:pPr>
    </w:p>
    <w:p>
      <w:pPr>
        <w:pStyle w:val="16"/>
        <w:keepLines/>
        <w:widowControl w:val="0"/>
        <w:numPr>
          <w:ilvl w:val="3"/>
          <w:numId w:val="10"/>
        </w:numPr>
        <w:spacing w:before="120" w:after="120" w:line="23" w:lineRule="atLeast"/>
        <w:jc w:val="both"/>
        <w:rPr>
          <w:rFonts w:cs="Times New Roman"/>
          <w:vanish/>
          <w:color w:val="000000"/>
          <w:sz w:val="10"/>
          <w:szCs w:val="10"/>
        </w:rPr>
      </w:pPr>
    </w:p>
    <w:p>
      <w:pPr>
        <w:pStyle w:val="16"/>
        <w:keepLines/>
        <w:widowControl w:val="0"/>
        <w:numPr>
          <w:ilvl w:val="3"/>
          <w:numId w:val="10"/>
        </w:numPr>
        <w:spacing w:before="120" w:after="120" w:line="23" w:lineRule="atLeast"/>
        <w:jc w:val="both"/>
        <w:rPr>
          <w:rFonts w:cs="Times New Roman"/>
          <w:vanish/>
          <w:color w:val="000000"/>
          <w:sz w:val="10"/>
          <w:szCs w:val="10"/>
        </w:rPr>
      </w:pPr>
    </w:p>
    <w:p>
      <w:pPr>
        <w:pStyle w:val="16"/>
        <w:keepLines/>
        <w:widowControl w:val="0"/>
        <w:numPr>
          <w:ilvl w:val="4"/>
          <w:numId w:val="10"/>
        </w:numPr>
        <w:spacing w:before="120" w:after="120" w:line="23" w:lineRule="atLeast"/>
        <w:jc w:val="both"/>
        <w:rPr>
          <w:rFonts w:cs="Times New Roman"/>
          <w:vanish/>
          <w:color w:val="000000"/>
          <w:sz w:val="10"/>
          <w:szCs w:val="10"/>
        </w:rPr>
      </w:pPr>
    </w:p>
    <w:p>
      <w:pPr>
        <w:pStyle w:val="16"/>
        <w:keepLines/>
        <w:widowControl w:val="0"/>
        <w:numPr>
          <w:ilvl w:val="4"/>
          <w:numId w:val="10"/>
        </w:numPr>
        <w:spacing w:before="120" w:after="120" w:line="23" w:lineRule="atLeast"/>
        <w:jc w:val="both"/>
        <w:rPr>
          <w:rFonts w:cs="Times New Roman"/>
          <w:vanish/>
          <w:color w:val="000000"/>
          <w:sz w:val="10"/>
          <w:szCs w:val="10"/>
        </w:rPr>
      </w:pPr>
    </w:p>
    <w:p>
      <w:pPr>
        <w:pStyle w:val="16"/>
        <w:keepLines/>
        <w:widowControl w:val="0"/>
        <w:numPr>
          <w:ilvl w:val="4"/>
          <w:numId w:val="10"/>
        </w:numPr>
        <w:spacing w:before="120" w:after="120" w:line="23" w:lineRule="atLeast"/>
        <w:jc w:val="both"/>
        <w:rPr>
          <w:rFonts w:cs="Times New Roman"/>
          <w:vanish/>
          <w:color w:val="000000"/>
          <w:sz w:val="10"/>
          <w:szCs w:val="10"/>
        </w:rPr>
      </w:pPr>
    </w:p>
    <w:p>
      <w:pPr>
        <w:pStyle w:val="16"/>
        <w:keepLines/>
        <w:widowControl w:val="0"/>
        <w:numPr>
          <w:ilvl w:val="4"/>
          <w:numId w:val="10"/>
        </w:numPr>
        <w:spacing w:before="120" w:after="120" w:line="23" w:lineRule="atLeast"/>
        <w:jc w:val="both"/>
        <w:rPr>
          <w:rFonts w:cs="Times New Roman"/>
          <w:vanish/>
          <w:color w:val="000000"/>
          <w:sz w:val="10"/>
          <w:szCs w:val="10"/>
        </w:rPr>
      </w:pPr>
    </w:p>
    <w:p>
      <w:pPr>
        <w:pStyle w:val="16"/>
        <w:keepLines/>
        <w:widowControl w:val="0"/>
        <w:numPr>
          <w:ilvl w:val="4"/>
          <w:numId w:val="10"/>
        </w:numPr>
        <w:spacing w:before="120" w:after="120" w:line="23" w:lineRule="atLeast"/>
        <w:jc w:val="both"/>
        <w:rPr>
          <w:rFonts w:cs="Times New Roman"/>
          <w:vanish/>
          <w:color w:val="000000"/>
          <w:sz w:val="10"/>
          <w:szCs w:val="10"/>
        </w:rPr>
      </w:pPr>
    </w:p>
    <w:p>
      <w:pPr>
        <w:pStyle w:val="16"/>
        <w:keepLines/>
        <w:widowControl w:val="0"/>
        <w:numPr>
          <w:ilvl w:val="4"/>
          <w:numId w:val="10"/>
        </w:numPr>
        <w:spacing w:before="120" w:after="120" w:line="23" w:lineRule="atLeast"/>
        <w:jc w:val="both"/>
        <w:rPr>
          <w:rFonts w:cs="Times New Roman"/>
          <w:vanish/>
          <w:color w:val="000000"/>
          <w:szCs w:val="20"/>
        </w:rPr>
      </w:pPr>
    </w:p>
    <w:p>
      <w:pPr>
        <w:pStyle w:val="16"/>
        <w:keepLines/>
        <w:widowControl w:val="0"/>
        <w:numPr>
          <w:ilvl w:val="4"/>
          <w:numId w:val="10"/>
        </w:numPr>
        <w:spacing w:before="120" w:after="120" w:line="23" w:lineRule="atLeast"/>
        <w:jc w:val="both"/>
        <w:rPr>
          <w:rFonts w:cs="Times New Roman"/>
          <w:color w:val="000000"/>
          <w:szCs w:val="20"/>
        </w:rPr>
      </w:pPr>
      <w:r>
        <w:rPr>
          <w:rFonts w:cs="Times New Roman"/>
          <w:color w:val="000000"/>
          <w:szCs w:val="20"/>
        </w:rPr>
        <w:t>Dos pontos a serem atingidos:</w:t>
      </w:r>
    </w:p>
    <w:p>
      <w:pPr>
        <w:keepLines/>
        <w:widowControl w:val="0"/>
        <w:spacing w:before="120" w:after="120" w:line="23" w:lineRule="atLeast"/>
        <w:ind w:left="1418"/>
        <w:jc w:val="both"/>
        <w:rPr>
          <w:rFonts w:cs="Times New Roman"/>
          <w:color w:val="000000"/>
          <w:szCs w:val="20"/>
        </w:rPr>
      </w:pPr>
      <w:r>
        <w:rPr>
          <w:rFonts w:cs="Times New Roman"/>
          <w:color w:val="000000"/>
          <w:szCs w:val="20"/>
        </w:rPr>
        <w:t xml:space="preserve">a) </w:t>
      </w:r>
      <w:r>
        <w:rPr>
          <w:rFonts w:cs="Times New Roman"/>
          <w:color w:val="000000"/>
          <w:szCs w:val="20"/>
        </w:rPr>
        <w:tab/>
      </w:r>
      <w:r>
        <w:rPr>
          <w:rFonts w:cs="Times New Roman"/>
          <w:color w:val="000000"/>
          <w:szCs w:val="20"/>
        </w:rPr>
        <w:t>Além das áreas internas dos prédios os produtos serão aplicados nas áreas externas continuas aos mesmos, notadamente nas caixas de inspeção de esgotos sanitários, pluviais, elétricas, telefônicas, bem como ralos de águas pluviais;</w:t>
      </w:r>
    </w:p>
    <w:p>
      <w:pPr>
        <w:keepLines/>
        <w:widowControl w:val="0"/>
        <w:spacing w:before="120" w:after="120" w:line="23" w:lineRule="atLeast"/>
        <w:ind w:left="1418"/>
        <w:jc w:val="both"/>
        <w:rPr>
          <w:rFonts w:cs="Times New Roman"/>
          <w:color w:val="000000"/>
          <w:szCs w:val="20"/>
        </w:rPr>
      </w:pPr>
      <w:r>
        <w:rPr>
          <w:rFonts w:cs="Times New Roman"/>
          <w:color w:val="000000"/>
          <w:szCs w:val="20"/>
        </w:rPr>
        <w:t xml:space="preserve">b) </w:t>
      </w:r>
      <w:r>
        <w:rPr>
          <w:rFonts w:cs="Times New Roman"/>
          <w:color w:val="000000"/>
          <w:szCs w:val="20"/>
        </w:rPr>
        <w:tab/>
      </w:r>
      <w:r>
        <w:rPr>
          <w:rFonts w:cs="Times New Roman"/>
          <w:color w:val="000000"/>
          <w:szCs w:val="20"/>
        </w:rPr>
        <w:t>A área externa do CAMPUS, devido sua peculiaridade, é de frequentemente infestado por pragas como formigas e cupins, necessitando a desinsetização em todo o complexo com aplicação de cupinicidas e formicidas, com a retirada dos “cupinzeiros”.</w:t>
      </w:r>
    </w:p>
    <w:p>
      <w:pPr>
        <w:pStyle w:val="16"/>
        <w:keepLines/>
        <w:widowControl w:val="0"/>
        <w:numPr>
          <w:ilvl w:val="4"/>
          <w:numId w:val="10"/>
        </w:numPr>
        <w:spacing w:before="120" w:after="120" w:line="23" w:lineRule="atLeast"/>
        <w:jc w:val="both"/>
        <w:rPr>
          <w:rFonts w:cs="Times New Roman"/>
          <w:color w:val="000000"/>
          <w:szCs w:val="20"/>
        </w:rPr>
      </w:pPr>
      <w:r>
        <w:rPr>
          <w:rFonts w:cs="Times New Roman"/>
          <w:color w:val="000000"/>
          <w:szCs w:val="20"/>
        </w:rPr>
        <w:t>Da garantia de execução</w:t>
      </w:r>
    </w:p>
    <w:p>
      <w:pPr>
        <w:keepLines/>
        <w:widowControl w:val="0"/>
        <w:spacing w:before="120" w:after="120" w:line="23" w:lineRule="atLeast"/>
        <w:ind w:left="1418"/>
        <w:jc w:val="both"/>
        <w:rPr>
          <w:rFonts w:cs="Times New Roman"/>
          <w:color w:val="000000"/>
          <w:szCs w:val="20"/>
        </w:rPr>
      </w:pPr>
      <w:r>
        <w:rPr>
          <w:rFonts w:cs="Times New Roman"/>
          <w:color w:val="000000"/>
          <w:szCs w:val="20"/>
        </w:rPr>
        <w:t xml:space="preserve">a) </w:t>
      </w:r>
      <w:r>
        <w:rPr>
          <w:rFonts w:cs="Times New Roman"/>
          <w:color w:val="000000"/>
          <w:szCs w:val="20"/>
        </w:rPr>
        <w:tab/>
      </w:r>
      <w:r>
        <w:rPr>
          <w:rFonts w:cs="Times New Roman"/>
          <w:color w:val="000000"/>
          <w:szCs w:val="20"/>
        </w:rPr>
        <w:t>A garantia para cada aplicação será de no mínimo 03 (três) meses; sendo que para afastamento de pombos e pardais a garantia será de seis meses;</w:t>
      </w:r>
    </w:p>
    <w:p>
      <w:pPr>
        <w:keepLines/>
        <w:widowControl w:val="0"/>
        <w:spacing w:before="120" w:after="120" w:line="23" w:lineRule="atLeast"/>
        <w:ind w:left="1418"/>
        <w:jc w:val="both"/>
        <w:rPr>
          <w:rFonts w:cs="Times New Roman"/>
          <w:color w:val="000000"/>
          <w:szCs w:val="20"/>
        </w:rPr>
      </w:pPr>
      <w:r>
        <w:rPr>
          <w:rFonts w:cs="Times New Roman"/>
          <w:color w:val="000000"/>
          <w:szCs w:val="20"/>
        </w:rPr>
        <w:t xml:space="preserve">b) </w:t>
      </w:r>
      <w:r>
        <w:rPr>
          <w:rFonts w:cs="Times New Roman"/>
          <w:color w:val="000000"/>
          <w:szCs w:val="20"/>
        </w:rPr>
        <w:tab/>
      </w:r>
      <w:r>
        <w:rPr>
          <w:rFonts w:cs="Times New Roman"/>
          <w:color w:val="000000"/>
          <w:szCs w:val="20"/>
        </w:rPr>
        <w:t xml:space="preserve">Ocorrendo o aparecimento de insetos, aracnídeos ou roedores dentro do período especificado para este tipo combate, fica a LICITANTE VENCEDORA obrigada a refazer os serviços; </w:t>
      </w:r>
    </w:p>
    <w:p>
      <w:pPr>
        <w:keepLines/>
        <w:widowControl w:val="0"/>
        <w:spacing w:before="120" w:after="120" w:line="23" w:lineRule="atLeast"/>
        <w:ind w:left="1418"/>
        <w:jc w:val="both"/>
        <w:rPr>
          <w:rFonts w:cs="Times New Roman"/>
          <w:color w:val="000000"/>
          <w:szCs w:val="20"/>
        </w:rPr>
      </w:pPr>
      <w:r>
        <w:rPr>
          <w:rFonts w:cs="Times New Roman"/>
          <w:color w:val="000000"/>
          <w:szCs w:val="20"/>
        </w:rPr>
        <w:t xml:space="preserve">c) </w:t>
      </w:r>
      <w:r>
        <w:rPr>
          <w:rFonts w:cs="Times New Roman"/>
          <w:color w:val="000000"/>
          <w:szCs w:val="20"/>
        </w:rPr>
        <w:tab/>
      </w:r>
      <w:r>
        <w:rPr>
          <w:rFonts w:cs="Times New Roman"/>
          <w:color w:val="000000"/>
          <w:szCs w:val="20"/>
        </w:rPr>
        <w:t>Ao término da garantia deverá ser feito um reforço das aplicações.</w:t>
      </w:r>
    </w:p>
    <w:p>
      <w:pPr>
        <w:keepLines/>
        <w:widowControl w:val="0"/>
        <w:spacing w:before="120" w:after="120" w:line="23" w:lineRule="atLeast"/>
        <w:ind w:left="1418"/>
        <w:jc w:val="both"/>
        <w:rPr>
          <w:rFonts w:cs="Times New Roman"/>
          <w:color w:val="000000"/>
          <w:szCs w:val="20"/>
        </w:rPr>
      </w:pPr>
    </w:p>
    <w:p>
      <w:pPr>
        <w:pStyle w:val="31"/>
        <w:keepNext w:val="0"/>
        <w:keepLines w:val="0"/>
        <w:numPr>
          <w:ilvl w:val="1"/>
          <w:numId w:val="2"/>
        </w:numPr>
        <w:spacing w:before="120" w:after="0"/>
        <w:ind w:left="431" w:hanging="431"/>
        <w:rPr>
          <w:rFonts w:cs="Arial"/>
          <w:bCs/>
          <w:highlight w:val="none"/>
        </w:rPr>
      </w:pPr>
      <w:r>
        <w:rPr>
          <w:rFonts w:cs="Arial"/>
          <w:bCs/>
          <w:highlight w:val="none"/>
        </w:rPr>
        <w:t>Os Serviços serão prestados</w:t>
      </w:r>
      <w:r>
        <w:rPr>
          <w:rFonts w:cs="Arial"/>
          <w:bCs/>
          <w:highlight w:val="none"/>
          <w:lang w:val="pt-BR"/>
        </w:rPr>
        <w:t xml:space="preserve"> no:</w:t>
      </w:r>
    </w:p>
    <w:p>
      <w:pPr>
        <w:rPr>
          <w:rFonts w:cs="Arial"/>
          <w:bCs/>
          <w:highlight w:val="none"/>
          <w:lang w:val="pt-BR"/>
        </w:rPr>
      </w:pPr>
    </w:p>
    <w:p>
      <w:pPr>
        <w:rPr>
          <w:rFonts w:cs="Arial"/>
          <w:bCs/>
          <w:highlight w:val="none"/>
          <w:lang w:val="pt-BR"/>
        </w:rPr>
      </w:pPr>
    </w:p>
    <w:p>
      <w:pPr>
        <w:pStyle w:val="31"/>
        <w:keepNext w:val="0"/>
        <w:keepLines w:val="0"/>
        <w:numPr>
          <w:ilvl w:val="2"/>
          <w:numId w:val="2"/>
        </w:numPr>
        <w:spacing w:before="120" w:after="0"/>
        <w:ind w:left="851" w:leftChars="0" w:hanging="431"/>
        <w:rPr>
          <w:rFonts w:cs="Arial"/>
          <w:bCs/>
          <w:highlight w:val="none"/>
        </w:rPr>
      </w:pPr>
      <w:r>
        <w:rPr>
          <w:rFonts w:cs="Arial"/>
          <w:bCs/>
          <w:highlight w:val="none"/>
        </w:rPr>
        <w:t xml:space="preserve"> IFS – Campus Estância, situado a Rua Café Filho, 360 – Bairro Cidade Nova, Estância/Sergipe, CEP.: 49</w:t>
      </w:r>
      <w:r>
        <w:rPr>
          <w:rFonts w:cs="Arial"/>
          <w:bCs/>
          <w:highlight w:val="none"/>
          <w:lang w:val="pt-BR"/>
        </w:rPr>
        <w:t>.</w:t>
      </w:r>
      <w:r>
        <w:rPr>
          <w:rFonts w:cs="Arial"/>
          <w:bCs/>
          <w:highlight w:val="none"/>
        </w:rPr>
        <w:t>200-000.</w:t>
      </w:r>
    </w:p>
    <w:p>
      <w:pPr>
        <w:pStyle w:val="31"/>
        <w:keepNext w:val="0"/>
        <w:keepLines w:val="0"/>
        <w:numPr>
          <w:ilvl w:val="2"/>
          <w:numId w:val="2"/>
        </w:numPr>
        <w:spacing w:before="120" w:after="0"/>
        <w:ind w:left="851" w:leftChars="0" w:hanging="431"/>
        <w:rPr>
          <w:rFonts w:cs="Arial"/>
          <w:bCs/>
          <w:highlight w:val="none"/>
        </w:rPr>
      </w:pPr>
      <w:r>
        <w:rPr>
          <w:rFonts w:cs="Arial"/>
          <w:bCs/>
          <w:highlight w:val="none"/>
        </w:rPr>
        <w:t xml:space="preserve"> IFS – Campus </w:t>
      </w:r>
      <w:r>
        <w:rPr>
          <w:rFonts w:cs="Arial"/>
          <w:bCs/>
          <w:highlight w:val="none"/>
          <w:lang w:val="pt-BR"/>
        </w:rPr>
        <w:t xml:space="preserve">Propriá </w:t>
      </w:r>
      <w:r>
        <w:rPr>
          <w:rFonts w:cs="Arial"/>
          <w:bCs/>
          <w:highlight w:val="none"/>
        </w:rPr>
        <w:t>situado a Rua</w:t>
      </w:r>
      <w:r>
        <w:rPr>
          <w:rFonts w:cs="Arial"/>
          <w:bCs/>
          <w:highlight w:val="none"/>
          <w:lang w:val="pt-BR"/>
        </w:rPr>
        <w:t xml:space="preserve"> Rotary, 330, Centro, Propriá, CEP.: 49.900-000</w:t>
      </w:r>
    </w:p>
    <w:p>
      <w:pPr>
        <w:pStyle w:val="31"/>
        <w:keepNext w:val="0"/>
        <w:keepLines w:val="0"/>
        <w:numPr>
          <w:ilvl w:val="2"/>
          <w:numId w:val="2"/>
        </w:numPr>
        <w:spacing w:before="120" w:after="0"/>
        <w:ind w:left="851" w:leftChars="0" w:hanging="431"/>
        <w:rPr>
          <w:rFonts w:cs="Arial"/>
          <w:bCs/>
          <w:highlight w:val="none"/>
        </w:rPr>
      </w:pPr>
      <w:r>
        <w:rPr>
          <w:rFonts w:cs="Arial"/>
          <w:bCs/>
          <w:highlight w:val="none"/>
        </w:rPr>
        <w:t xml:space="preserve">IFS – Campus </w:t>
      </w:r>
      <w:r>
        <w:rPr>
          <w:rFonts w:cs="Arial"/>
          <w:bCs/>
          <w:highlight w:val="none"/>
          <w:lang w:val="pt-BR"/>
        </w:rPr>
        <w:t xml:space="preserve">São Cristóvão </w:t>
      </w:r>
      <w:r>
        <w:rPr>
          <w:rFonts w:cs="Arial"/>
          <w:bCs/>
          <w:highlight w:val="none"/>
        </w:rPr>
        <w:t xml:space="preserve">situado a </w:t>
      </w:r>
      <w:r>
        <w:rPr>
          <w:rFonts w:cs="Arial"/>
          <w:bCs/>
          <w:highlight w:val="none"/>
          <w:lang w:val="pt-BR"/>
        </w:rPr>
        <w:t>Rodovia BR 101, KM 96, Povoado Quissamã - São Cristovão - CEP 49.100-000.</w:t>
      </w:r>
    </w:p>
    <w:p>
      <w:pPr>
        <w:pStyle w:val="31"/>
        <w:keepNext w:val="0"/>
        <w:keepLines w:val="0"/>
        <w:numPr>
          <w:ilvl w:val="2"/>
          <w:numId w:val="2"/>
        </w:numPr>
        <w:spacing w:before="120" w:after="0"/>
        <w:ind w:left="851" w:leftChars="0" w:hanging="431"/>
        <w:rPr>
          <w:rFonts w:cs="Arial"/>
          <w:bCs/>
          <w:highlight w:val="none"/>
          <w:lang w:val="pt-BR"/>
        </w:rPr>
      </w:pPr>
      <w:r>
        <w:rPr>
          <w:rFonts w:cs="Arial"/>
          <w:bCs/>
          <w:highlight w:val="none"/>
        </w:rPr>
        <w:t xml:space="preserve"> IFS – Campus </w:t>
      </w:r>
      <w:r>
        <w:rPr>
          <w:rFonts w:cs="Arial"/>
          <w:bCs/>
          <w:highlight w:val="none"/>
          <w:lang w:val="pt-BR"/>
        </w:rPr>
        <w:t xml:space="preserve">Nossa Senhora da Glória  </w:t>
      </w:r>
      <w:r>
        <w:rPr>
          <w:rFonts w:cs="Arial"/>
          <w:bCs/>
          <w:highlight w:val="none"/>
        </w:rPr>
        <w:t>situado a</w:t>
      </w:r>
      <w:r>
        <w:rPr>
          <w:rFonts w:cs="Arial"/>
          <w:bCs/>
          <w:highlight w:val="none"/>
          <w:lang w:val="pt-BR"/>
        </w:rPr>
        <w:t xml:space="preserve"> Rodovia Juscelino Kubitschek, s/n, Parque de Exposições João de Oliveira Dantas, S/N, Nossa Senhora da Glória - CEP 49.680-000.</w:t>
      </w:r>
    </w:p>
    <w:p>
      <w:pPr>
        <w:pStyle w:val="31"/>
        <w:keepNext w:val="0"/>
        <w:keepLines w:val="0"/>
        <w:numPr>
          <w:ilvl w:val="2"/>
          <w:numId w:val="2"/>
        </w:numPr>
        <w:spacing w:before="120" w:after="0"/>
        <w:ind w:left="851" w:leftChars="0" w:hanging="431"/>
        <w:rPr>
          <w:rFonts w:cs="Arial"/>
          <w:bCs/>
          <w:highlight w:val="none"/>
          <w:lang w:val="pt-BR"/>
        </w:rPr>
      </w:pPr>
      <w:r>
        <w:rPr>
          <w:rFonts w:cs="Arial"/>
          <w:bCs/>
          <w:highlight w:val="none"/>
        </w:rPr>
        <w:t xml:space="preserve"> IFS – Campus </w:t>
      </w:r>
      <w:r>
        <w:rPr>
          <w:rFonts w:cs="Arial"/>
          <w:bCs/>
          <w:highlight w:val="none"/>
          <w:lang w:val="pt-BR"/>
        </w:rPr>
        <w:t xml:space="preserve">Lagarto </w:t>
      </w:r>
      <w:r>
        <w:rPr>
          <w:rFonts w:cs="Arial"/>
          <w:bCs/>
          <w:highlight w:val="none"/>
        </w:rPr>
        <w:t>situado a</w:t>
      </w:r>
      <w:r>
        <w:rPr>
          <w:rFonts w:cs="Arial"/>
          <w:bCs/>
          <w:highlight w:val="none"/>
          <w:lang w:val="pt-BR"/>
        </w:rPr>
        <w:t xml:space="preserve"> Rodovia Lourival Batista, s/n,Povoado Carro Quebrado, Lagarto/SE - CEP 49.600-000.</w:t>
      </w:r>
    </w:p>
    <w:p>
      <w:pPr>
        <w:pStyle w:val="31"/>
        <w:keepNext w:val="0"/>
        <w:keepLines w:val="0"/>
        <w:numPr>
          <w:ilvl w:val="2"/>
          <w:numId w:val="2"/>
        </w:numPr>
        <w:spacing w:before="120" w:after="0"/>
        <w:ind w:left="851" w:leftChars="0" w:hanging="431"/>
        <w:rPr>
          <w:rFonts w:cs="Arial"/>
          <w:bCs/>
          <w:highlight w:val="none"/>
        </w:rPr>
      </w:pPr>
      <w:r>
        <w:rPr>
          <w:rFonts w:cs="Arial"/>
          <w:bCs/>
          <w:highlight w:val="none"/>
        </w:rPr>
        <w:t xml:space="preserve">IFS – Campus </w:t>
      </w:r>
      <w:r>
        <w:rPr>
          <w:rFonts w:cs="Arial"/>
          <w:bCs/>
          <w:highlight w:val="none"/>
          <w:lang w:val="pt-BR"/>
        </w:rPr>
        <w:t xml:space="preserve">Tobias Barreto </w:t>
      </w:r>
      <w:r>
        <w:rPr>
          <w:rFonts w:cs="Arial"/>
          <w:bCs/>
          <w:highlight w:val="none"/>
        </w:rPr>
        <w:t>situado a</w:t>
      </w:r>
      <w:r>
        <w:rPr>
          <w:rFonts w:cs="Arial"/>
          <w:bCs/>
          <w:highlight w:val="none"/>
          <w:lang w:val="pt-BR"/>
        </w:rPr>
        <w:t xml:space="preserve"> Rodovia Gov. Antônio Carlos Valadares, S/N, Conj. Irmã Dulce, Tobias Barreto/SE - CEP 49.030-000.</w:t>
      </w:r>
    </w:p>
    <w:p>
      <w:pPr>
        <w:pStyle w:val="31"/>
        <w:keepNext w:val="0"/>
        <w:keepLines w:val="0"/>
        <w:numPr>
          <w:ilvl w:val="2"/>
          <w:numId w:val="2"/>
        </w:numPr>
        <w:spacing w:before="120" w:after="0"/>
        <w:ind w:left="851" w:leftChars="0" w:hanging="431"/>
        <w:rPr>
          <w:rFonts w:cs="Arial"/>
          <w:bCs/>
          <w:highlight w:val="none"/>
        </w:rPr>
      </w:pPr>
      <w:r>
        <w:rPr>
          <w:rFonts w:cs="Arial"/>
          <w:bCs/>
          <w:highlight w:val="none"/>
        </w:rPr>
        <w:t>IFS – Campus</w:t>
      </w:r>
      <w:r>
        <w:rPr>
          <w:rFonts w:cs="Arial"/>
          <w:bCs/>
          <w:highlight w:val="none"/>
          <w:lang w:val="pt-BR"/>
        </w:rPr>
        <w:t xml:space="preserve"> Itabaiana </w:t>
      </w:r>
      <w:r>
        <w:rPr>
          <w:rFonts w:cs="Arial"/>
          <w:bCs/>
          <w:highlight w:val="none"/>
        </w:rPr>
        <w:t>situado a</w:t>
      </w:r>
      <w:r>
        <w:rPr>
          <w:rFonts w:cs="Arial"/>
          <w:bCs/>
          <w:highlight w:val="none"/>
          <w:lang w:val="pt-BR"/>
        </w:rPr>
        <w:t xml:space="preserve"> Av. Padre Airton Gonçalves de Lima, 1140, São Cristóvão - Itabaiana/SE -CEP 49.500-543.</w:t>
      </w:r>
    </w:p>
    <w:p>
      <w:pPr>
        <w:pStyle w:val="31"/>
        <w:keepNext w:val="0"/>
        <w:keepLines w:val="0"/>
        <w:numPr>
          <w:ilvl w:val="2"/>
          <w:numId w:val="2"/>
        </w:numPr>
        <w:spacing w:before="120" w:after="0"/>
        <w:ind w:left="851" w:leftChars="0" w:hanging="431"/>
        <w:rPr>
          <w:rFonts w:cs="Arial"/>
          <w:bCs/>
          <w:highlight w:val="none"/>
        </w:rPr>
      </w:pPr>
      <w:r>
        <w:rPr>
          <w:rFonts w:cs="Arial"/>
          <w:bCs/>
          <w:highlight w:val="none"/>
        </w:rPr>
        <w:t xml:space="preserve"> IFS – Campus </w:t>
      </w:r>
      <w:r>
        <w:rPr>
          <w:rFonts w:cs="Arial"/>
          <w:bCs/>
          <w:highlight w:val="none"/>
          <w:lang w:val="pt-BR"/>
        </w:rPr>
        <w:t xml:space="preserve">Nossa Senhora do Socorro </w:t>
      </w:r>
      <w:r>
        <w:rPr>
          <w:rFonts w:cs="Arial"/>
          <w:bCs/>
          <w:highlight w:val="none"/>
        </w:rPr>
        <w:t>situado a</w:t>
      </w:r>
      <w:r>
        <w:rPr>
          <w:rFonts w:cs="Arial"/>
          <w:bCs/>
          <w:highlight w:val="none"/>
          <w:lang w:val="pt-BR"/>
        </w:rPr>
        <w:t xml:space="preserve"> Av. Perimetral B, 94, Marcos Freire I, Nossa Senhora do Socorro/SE - CEP 49.160-000.</w:t>
      </w:r>
    </w:p>
    <w:p>
      <w:pPr>
        <w:pStyle w:val="31"/>
        <w:keepNext w:val="0"/>
        <w:keepLines w:val="0"/>
        <w:numPr>
          <w:ilvl w:val="2"/>
          <w:numId w:val="2"/>
        </w:numPr>
        <w:spacing w:before="120" w:after="0"/>
        <w:ind w:left="851" w:leftChars="0" w:hanging="431"/>
        <w:jc w:val="both"/>
        <w:rPr>
          <w:highlight w:val="none"/>
        </w:rPr>
      </w:pPr>
      <w:r>
        <w:rPr>
          <w:rFonts w:cs="Arial"/>
          <w:bCs/>
          <w:highlight w:val="none"/>
        </w:rPr>
        <w:t xml:space="preserve"> </w:t>
      </w:r>
      <w:r>
        <w:rPr>
          <w:rFonts w:cs="Arial"/>
          <w:bCs/>
          <w:highlight w:val="none"/>
          <w:lang w:val="pt-BR"/>
        </w:rPr>
        <w:t>IFS/Reitoria</w:t>
      </w:r>
    </w:p>
    <w:p>
      <w:pPr>
        <w:numPr>
          <w:ilvl w:val="0"/>
          <w:numId w:val="0"/>
        </w:numPr>
        <w:ind w:left="840" w:leftChars="0"/>
        <w:jc w:val="both"/>
        <w:rPr>
          <w:rFonts w:cs="Arial"/>
          <w:b/>
          <w:bCs w:val="0"/>
          <w:highlight w:val="none"/>
          <w:lang w:val="pt-BR"/>
        </w:rPr>
      </w:pPr>
      <w:r>
        <w:rPr>
          <w:rFonts w:cs="Arial"/>
          <w:b/>
          <w:bCs w:val="0"/>
          <w:highlight w:val="none"/>
          <w:lang w:val="pt-BR"/>
        </w:rPr>
        <w:t xml:space="preserve">4.2.9.1   Reitoria(Sede) </w:t>
      </w:r>
      <w:r>
        <w:rPr>
          <w:rFonts w:cs="Arial"/>
          <w:b/>
          <w:bCs w:val="0"/>
          <w:highlight w:val="none"/>
        </w:rPr>
        <w:t>situado a</w:t>
      </w:r>
      <w:r>
        <w:rPr>
          <w:rFonts w:cs="Arial"/>
          <w:b/>
          <w:bCs w:val="0"/>
          <w:highlight w:val="none"/>
          <w:lang w:val="pt-BR"/>
        </w:rPr>
        <w:t xml:space="preserve"> Av. Jorge Amado, 1551, Loteamento Garcia, Jardins, Aracaju/SE - CEP 49.000-000.</w:t>
      </w:r>
    </w:p>
    <w:p>
      <w:pPr>
        <w:ind w:left="800" w:leftChars="400" w:firstLine="52" w:firstLineChars="26"/>
        <w:jc w:val="both"/>
        <w:rPr>
          <w:rFonts w:cs="Arial"/>
          <w:b/>
          <w:bCs w:val="0"/>
          <w:highlight w:val="none"/>
          <w:lang w:val="pt-BR"/>
        </w:rPr>
      </w:pPr>
      <w:r>
        <w:rPr>
          <w:rFonts w:cs="Arial"/>
          <w:b/>
          <w:bCs w:val="0"/>
          <w:highlight w:val="none"/>
          <w:lang w:val="pt-BR"/>
        </w:rPr>
        <w:t xml:space="preserve">4.2.9.2   Centro de Pós-Graduação </w:t>
      </w:r>
      <w:r>
        <w:rPr>
          <w:rFonts w:cs="Arial"/>
          <w:b/>
          <w:bCs w:val="0"/>
          <w:highlight w:val="none"/>
        </w:rPr>
        <w:t>situado a</w:t>
      </w:r>
      <w:r>
        <w:rPr>
          <w:rFonts w:cs="Arial"/>
          <w:b/>
          <w:bCs w:val="0"/>
          <w:highlight w:val="none"/>
          <w:lang w:val="pt-BR"/>
        </w:rPr>
        <w:t xml:space="preserve"> Rua Francisco Portugal, 150, Salgado Filho, Aracaju/SE - CEP 49.020-390.</w:t>
      </w:r>
    </w:p>
    <w:p>
      <w:pPr>
        <w:ind w:left="800" w:leftChars="400" w:firstLine="52" w:firstLineChars="26"/>
        <w:jc w:val="both"/>
        <w:rPr>
          <w:rFonts w:cs="Arial"/>
          <w:b/>
          <w:bCs w:val="0"/>
          <w:highlight w:val="none"/>
          <w:lang w:val="pt-BR"/>
        </w:rPr>
      </w:pPr>
    </w:p>
    <w:p>
      <w:pPr>
        <w:jc w:val="both"/>
      </w:pPr>
    </w:p>
    <w:p>
      <w:pPr>
        <w:numPr>
          <w:ilvl w:val="0"/>
          <w:numId w:val="0"/>
        </w:numPr>
        <w:ind w:leftChars="0"/>
        <w:rPr>
          <w:u w:val="single"/>
        </w:rPr>
      </w:pPr>
      <w:r>
        <w:rPr>
          <w:u w:val="single"/>
        </w:rPr>
        <w:t>INFORMAÇÕES RELEVANTES PARA O DIMENSIONAMENTO DA PROPOSTA</w:t>
      </w:r>
    </w:p>
    <w:p>
      <w:pPr>
        <w:numPr>
          <w:ilvl w:val="1"/>
          <w:numId w:val="2"/>
        </w:numPr>
        <w:spacing w:before="120" w:after="120" w:line="276" w:lineRule="auto"/>
        <w:ind w:left="425" w:firstLine="0"/>
        <w:jc w:val="both"/>
        <w:rPr>
          <w:rFonts w:cs="Times New Roman"/>
          <w:bCs/>
          <w:color w:val="000000"/>
          <w:szCs w:val="20"/>
        </w:rPr>
      </w:pPr>
      <w:r>
        <w:rPr>
          <w:rFonts w:cs="Times New Roman"/>
          <w:bCs/>
          <w:color w:val="000000"/>
          <w:szCs w:val="20"/>
        </w:rPr>
        <w:t>A demanda do órgão gerenciado e dos participantes tem como base as seguintes características:</w:t>
      </w:r>
    </w:p>
    <w:p>
      <w:pPr>
        <w:numPr>
          <w:ilvl w:val="2"/>
          <w:numId w:val="2"/>
        </w:numPr>
        <w:spacing w:before="120" w:after="120" w:line="276" w:lineRule="auto"/>
        <w:jc w:val="both"/>
        <w:rPr>
          <w:rFonts w:cs="Times New Roman"/>
          <w:bCs/>
          <w:color w:val="000000"/>
          <w:szCs w:val="20"/>
        </w:rPr>
      </w:pPr>
      <w:r>
        <w:rPr>
          <w:rFonts w:cs="Times New Roman"/>
          <w:bCs/>
          <w:color w:val="000000"/>
          <w:szCs w:val="20"/>
        </w:rPr>
        <w:t>Os serviços serão prestados no âmbito do IFS e dos e dos participantes, de forma ininterrupta, preferencialmente de segunda a sexta-feira, dentro do período de 07h00 às 22h00 em regime de 44 (quarenta e quatro) horas semanais, de 8h00min (oito) horas por dia; não computando nesse período o intervalo de duas horas para refeição e descanso;</w:t>
      </w:r>
    </w:p>
    <w:p>
      <w:pPr>
        <w:numPr>
          <w:ilvl w:val="2"/>
          <w:numId w:val="2"/>
        </w:numPr>
        <w:spacing w:before="120" w:after="120" w:line="276" w:lineRule="auto"/>
        <w:jc w:val="both"/>
        <w:rPr>
          <w:rFonts w:cs="Times New Roman"/>
          <w:bCs/>
          <w:color w:val="000000"/>
          <w:szCs w:val="20"/>
        </w:rPr>
      </w:pPr>
      <w:r>
        <w:rPr>
          <w:rFonts w:cs="Times New Roman"/>
          <w:bCs/>
          <w:color w:val="000000"/>
          <w:szCs w:val="20"/>
        </w:rPr>
        <w:t>A critério da Administração, a carga horária prevista para os sábados poderá ser compensada durante a semana, de segunda a sexta-feira, não sendo devido, nesse caso, à empresa contratada, o pagamento de serviços extraordinários.</w:t>
      </w:r>
    </w:p>
    <w:p>
      <w:pPr>
        <w:numPr>
          <w:ilvl w:val="2"/>
          <w:numId w:val="2"/>
        </w:numPr>
        <w:spacing w:before="120" w:after="120" w:line="276" w:lineRule="auto"/>
        <w:jc w:val="both"/>
        <w:rPr>
          <w:rFonts w:cs="Times New Roman"/>
          <w:bCs/>
          <w:color w:val="000000"/>
          <w:szCs w:val="20"/>
        </w:rPr>
      </w:pPr>
      <w:r>
        <w:rPr>
          <w:rFonts w:cs="Times New Roman"/>
          <w:bCs/>
          <w:color w:val="000000"/>
          <w:szCs w:val="20"/>
        </w:rPr>
        <w:t xml:space="preserve"> As 4h00min (quatro) horas faltantes serão laboradas aos sábados, se houver necessidade de serviço, e a critério da contratante;</w:t>
      </w:r>
    </w:p>
    <w:p>
      <w:pPr>
        <w:numPr>
          <w:ilvl w:val="2"/>
          <w:numId w:val="2"/>
        </w:numPr>
        <w:spacing w:before="120" w:after="120" w:line="276" w:lineRule="auto"/>
        <w:jc w:val="both"/>
        <w:rPr>
          <w:rFonts w:cs="Times New Roman"/>
          <w:bCs/>
          <w:color w:val="000000"/>
          <w:szCs w:val="20"/>
        </w:rPr>
      </w:pPr>
      <w:r>
        <w:rPr>
          <w:rFonts w:cs="Times New Roman"/>
          <w:bCs/>
          <w:color w:val="000000"/>
          <w:szCs w:val="20"/>
        </w:rPr>
        <w:t>Não havendo expediente na contratante aos sábados, poderá ser ultrapassado o período diário de 8h00min de 2ª a 6ª, para compensação do sábado não trabalhado;</w:t>
      </w:r>
    </w:p>
    <w:p>
      <w:pPr>
        <w:numPr>
          <w:ilvl w:val="2"/>
          <w:numId w:val="2"/>
        </w:numPr>
        <w:spacing w:before="120" w:after="120" w:line="276" w:lineRule="auto"/>
        <w:jc w:val="both"/>
        <w:rPr>
          <w:rFonts w:cs="Times New Roman"/>
          <w:bCs/>
          <w:color w:val="000000"/>
          <w:szCs w:val="20"/>
        </w:rPr>
      </w:pPr>
      <w:r>
        <w:rPr>
          <w:rFonts w:cs="Times New Roman"/>
          <w:bCs/>
          <w:color w:val="000000"/>
          <w:szCs w:val="20"/>
        </w:rPr>
        <w:t>A ocorrência de feriados exclusivos do Instituto Federal de Sergipe ou ponto facultativo compreendido em dias úteis, não implicará, necessariamente, interrupção dos serviços, reservando-se à Administração o direito de dispensar os serviços, de acordo com a conveniência e a necessidade do serviço;</w:t>
      </w:r>
    </w:p>
    <w:p>
      <w:pPr>
        <w:numPr>
          <w:ilvl w:val="2"/>
          <w:numId w:val="2"/>
        </w:numPr>
        <w:spacing w:before="120" w:after="120" w:line="276" w:lineRule="auto"/>
        <w:jc w:val="both"/>
        <w:rPr>
          <w:rFonts w:cs="Times New Roman"/>
          <w:bCs/>
          <w:color w:val="000000"/>
          <w:szCs w:val="20"/>
        </w:rPr>
      </w:pPr>
      <w:r>
        <w:rPr>
          <w:rFonts w:cs="Times New Roman"/>
          <w:bCs/>
          <w:color w:val="000000"/>
          <w:szCs w:val="20"/>
        </w:rPr>
        <w:t xml:space="preserve">Excepcionalmente, poderá ser solicitada à contratada a prestação de serviços adicionais em qualquer dia da semana, inclusive sábados, domingos e feriados, além da jornada prevista no item </w:t>
      </w:r>
      <w:r>
        <w:rPr>
          <w:rFonts w:cs="Times New Roman"/>
          <w:bCs/>
          <w:color w:val="000000"/>
          <w:szCs w:val="20"/>
          <w:lang w:val="pt-BR"/>
        </w:rPr>
        <w:t>4.3.1</w:t>
      </w:r>
      <w:r>
        <w:rPr>
          <w:rFonts w:cs="Times New Roman"/>
          <w:bCs/>
          <w:color w:val="000000"/>
          <w:szCs w:val="20"/>
        </w:rPr>
        <w:t xml:space="preserve"> mediante comunicação do Fiscal do Contrato, com, no mínimo, 24 (vinte e quatro) horas de antecedência;</w:t>
      </w:r>
    </w:p>
    <w:p>
      <w:pPr>
        <w:numPr>
          <w:ilvl w:val="2"/>
          <w:numId w:val="2"/>
        </w:numPr>
        <w:spacing w:before="120" w:after="120" w:line="276" w:lineRule="auto"/>
        <w:jc w:val="both"/>
        <w:rPr>
          <w:rFonts w:cs="Times New Roman"/>
          <w:bCs/>
          <w:color w:val="000000"/>
          <w:szCs w:val="20"/>
        </w:rPr>
      </w:pPr>
      <w:r>
        <w:rPr>
          <w:rFonts w:cs="Times New Roman"/>
          <w:bCs/>
          <w:color w:val="000000"/>
          <w:szCs w:val="20"/>
        </w:rPr>
        <w:t xml:space="preserve">As horas colocadas à disposição deste Instituto, excedentes das mencionadas no item </w:t>
      </w:r>
      <w:r>
        <w:rPr>
          <w:rFonts w:cs="Times New Roman"/>
          <w:bCs/>
          <w:color w:val="000000"/>
          <w:szCs w:val="20"/>
          <w:lang w:val="pt-BR"/>
        </w:rPr>
        <w:t>4.3.1</w:t>
      </w:r>
      <w:r>
        <w:rPr>
          <w:rFonts w:cs="Times New Roman"/>
          <w:bCs/>
          <w:color w:val="000000"/>
          <w:szCs w:val="20"/>
        </w:rPr>
        <w:t xml:space="preserve"> somente serão consideradas para fins de pagamento, caso não ocorra à devida compensação, nos termos da legislação vigente, e desde que haja convocação expressa por parte do Fiscal do Contrato.</w:t>
      </w:r>
    </w:p>
    <w:p>
      <w:pPr>
        <w:numPr>
          <w:ilvl w:val="2"/>
          <w:numId w:val="2"/>
        </w:numPr>
        <w:spacing w:before="120" w:after="120" w:line="276" w:lineRule="auto"/>
        <w:jc w:val="both"/>
        <w:rPr>
          <w:rFonts w:cs="Times New Roman"/>
          <w:bCs/>
          <w:color w:val="000000"/>
          <w:szCs w:val="20"/>
        </w:rPr>
      </w:pPr>
      <w:r>
        <w:rPr>
          <w:rFonts w:cs="Times New Roman"/>
          <w:bCs/>
          <w:color w:val="000000"/>
          <w:szCs w:val="20"/>
        </w:rPr>
        <w:t>O horário efetivo de prestação de serviços será determinado pelo IFS e comunicado à contratada por intermédio da fiscalização.</w:t>
      </w:r>
    </w:p>
    <w:p>
      <w:pPr>
        <w:numPr>
          <w:ilvl w:val="2"/>
          <w:numId w:val="2"/>
        </w:numPr>
        <w:spacing w:before="120" w:after="120" w:line="276" w:lineRule="auto"/>
        <w:jc w:val="both"/>
        <w:rPr>
          <w:rFonts w:cs="Times New Roman"/>
          <w:bCs/>
          <w:color w:val="000000"/>
          <w:szCs w:val="20"/>
        </w:rPr>
      </w:pPr>
      <w:r>
        <w:rPr>
          <w:rFonts w:cs="Times New Roman"/>
          <w:bCs/>
          <w:color w:val="000000"/>
          <w:szCs w:val="20"/>
        </w:rPr>
        <w:t>Instalar ponto eletrônico em todos os locais de prestação de serviço;</w:t>
      </w:r>
    </w:p>
    <w:p>
      <w:pPr>
        <w:numPr>
          <w:ilvl w:val="2"/>
          <w:numId w:val="2"/>
        </w:numPr>
        <w:spacing w:before="120" w:after="120" w:line="276" w:lineRule="auto"/>
        <w:jc w:val="both"/>
        <w:rPr>
          <w:rFonts w:cs="Times New Roman"/>
          <w:bCs/>
          <w:color w:val="000000"/>
          <w:szCs w:val="20"/>
        </w:rPr>
      </w:pPr>
      <w:r>
        <w:rPr>
          <w:rFonts w:cs="Times New Roman"/>
          <w:bCs/>
          <w:color w:val="000000"/>
          <w:szCs w:val="20"/>
        </w:rPr>
        <w:t>O total de serviço registrado nesta ata, a critério da administração, poderá ser distribuído em qualquer dos Campus do Instituto Federal de Educação, Ciência e Tecnologia de Sergipe – SE desde de não ultrapasse o quantitativo total registrado na ata para cada item, sendo a CONTRATANTE  responsável pelo  transporte,  sem  mudar  as  características  dos  serviços  a  serem contratados;</w:t>
      </w:r>
    </w:p>
    <w:p>
      <w:pPr>
        <w:numPr>
          <w:ilvl w:val="2"/>
          <w:numId w:val="2"/>
        </w:numPr>
        <w:spacing w:before="120" w:after="120" w:line="276" w:lineRule="auto"/>
        <w:jc w:val="both"/>
        <w:rPr>
          <w:rFonts w:cs="Times New Roman"/>
          <w:bCs/>
          <w:color w:val="000000"/>
          <w:szCs w:val="20"/>
        </w:rPr>
      </w:pPr>
      <w:r>
        <w:rPr>
          <w:rFonts w:cs="Times New Roman"/>
          <w:bCs/>
          <w:color w:val="000000"/>
          <w:szCs w:val="20"/>
        </w:rPr>
        <w:t>A Contratada devera fornecer equipamentos individuais necessários a segurança do trabalhador, por categoria, de maneira constante, independentemente de qualquer aviso ou solicitação por parte da Contratante.</w:t>
      </w:r>
    </w:p>
    <w:p>
      <w:pPr>
        <w:numPr>
          <w:ilvl w:val="2"/>
          <w:numId w:val="2"/>
        </w:numPr>
        <w:spacing w:before="120" w:after="120" w:line="276" w:lineRule="auto"/>
        <w:jc w:val="both"/>
        <w:rPr>
          <w:rFonts w:cs="Times New Roman"/>
          <w:bCs/>
          <w:color w:val="000000"/>
          <w:szCs w:val="20"/>
        </w:rPr>
      </w:pPr>
      <w:r>
        <w:rPr>
          <w:rFonts w:cs="Times New Roman"/>
          <w:bCs/>
          <w:color w:val="000000"/>
          <w:szCs w:val="20"/>
        </w:rPr>
        <w:t>Os valores referentes a manutenção e depreciação dos equipamentos deverão constar na Planilhas de Custos e Formação de Preços dos postos de serviços.</w:t>
      </w:r>
    </w:p>
    <w:p>
      <w:pPr>
        <w:pStyle w:val="31"/>
      </w:pPr>
      <w:r>
        <w:t>METODOLOGIA DE AVALIAÇÃO DA EXECUÇÃO DOS SERVIÇOS.</w:t>
      </w:r>
    </w:p>
    <w:p>
      <w:pPr>
        <w:numPr>
          <w:ilvl w:val="1"/>
          <w:numId w:val="2"/>
        </w:numPr>
        <w:spacing w:before="120" w:after="120" w:line="276" w:lineRule="auto"/>
        <w:ind w:left="425" w:firstLine="0"/>
        <w:jc w:val="both"/>
        <w:rPr>
          <w:rFonts w:cs="Times New Roman"/>
          <w:bCs/>
          <w:color w:val="000000"/>
          <w:szCs w:val="20"/>
        </w:rPr>
      </w:pPr>
      <w:r>
        <w:rPr>
          <w:rFonts w:cs="Times New Roman"/>
          <w:bCs/>
          <w:color w:val="000000"/>
          <w:szCs w:val="20"/>
        </w:rPr>
        <w:t xml:space="preserve">Os </w:t>
      </w:r>
      <w:r>
        <w:rPr>
          <w:rFonts w:cs="Times New Roman"/>
          <w:b w:val="0"/>
          <w:bCs/>
          <w:color w:val="000000"/>
          <w:szCs w:val="20"/>
        </w:rPr>
        <w:t xml:space="preserve">serviços </w:t>
      </w:r>
      <w:r>
        <w:rPr>
          <w:rFonts w:cs="Times New Roman"/>
          <w:bCs/>
          <w:color w:val="000000"/>
          <w:szCs w:val="20"/>
        </w:rPr>
        <w:t>deverão ser executados com base nos p</w:t>
      </w:r>
      <w:r>
        <w:rPr>
          <w:rFonts w:cs="Times New Roman"/>
          <w:bCs/>
          <w:color w:val="000000"/>
          <w:szCs w:val="20"/>
          <w:u w:val="none"/>
        </w:rPr>
        <w:t>arâmet</w:t>
      </w:r>
      <w:r>
        <w:rPr>
          <w:rFonts w:cs="Times New Roman"/>
          <w:bCs/>
          <w:color w:val="000000"/>
          <w:szCs w:val="20"/>
        </w:rPr>
        <w:t>ros mínimos</w:t>
      </w:r>
      <w:bookmarkStart w:id="0" w:name="bookmark52"/>
      <w:r>
        <w:rPr>
          <w:rFonts w:cs="Times New Roman"/>
          <w:bCs/>
          <w:color w:val="000000"/>
          <w:szCs w:val="20"/>
        </w:rPr>
        <w:t xml:space="preserve"> estabelecidos</w:t>
      </w:r>
      <w:r>
        <w:rPr>
          <w:rFonts w:cs="Times New Roman"/>
          <w:bCs/>
          <w:color w:val="000000"/>
          <w:szCs w:val="20"/>
          <w:lang w:val="pt-BR"/>
        </w:rPr>
        <w:t>:</w:t>
      </w:r>
    </w:p>
    <w:p>
      <w:pPr>
        <w:numPr>
          <w:ilvl w:val="1"/>
          <w:numId w:val="2"/>
        </w:numPr>
        <w:spacing w:before="120" w:after="120" w:line="276" w:lineRule="auto"/>
        <w:ind w:left="425" w:firstLine="0"/>
        <w:jc w:val="both"/>
        <w:rPr>
          <w:rFonts w:cs="Times New Roman"/>
          <w:b w:val="0"/>
          <w:bCs/>
          <w:color w:val="000000"/>
          <w:szCs w:val="20"/>
        </w:rPr>
      </w:pPr>
      <w:r>
        <w:rPr>
          <w:rFonts w:cs="Times New Roman"/>
          <w:b w:val="0"/>
          <w:bCs/>
          <w:color w:val="000000"/>
          <w:szCs w:val="20"/>
          <w:lang w:val="pt-BR"/>
        </w:rPr>
        <w:t xml:space="preserve">O </w:t>
      </w:r>
      <w:r>
        <w:rPr>
          <w:rFonts w:cs="Times New Roman"/>
          <w:b w:val="0"/>
          <w:bCs/>
          <w:color w:val="000000"/>
          <w:szCs w:val="20"/>
        </w:rPr>
        <w:t>IMR vinculará o pagamento dos serviços aos resultados alcançados em complemento à mensuração dos serviços efetivamente prestados, não devendo as adequações de pagamento, originadas pelo descumprimento do IMR ser interpretadas como penali- dades ou multas.</w:t>
      </w:r>
    </w:p>
    <w:p>
      <w:pPr>
        <w:numPr>
          <w:ilvl w:val="1"/>
          <w:numId w:val="2"/>
        </w:numPr>
        <w:spacing w:before="120" w:after="120" w:line="276" w:lineRule="auto"/>
        <w:ind w:left="425" w:firstLine="0"/>
        <w:jc w:val="both"/>
        <w:rPr>
          <w:rFonts w:cs="Times New Roman"/>
          <w:b w:val="0"/>
          <w:bCs/>
          <w:color w:val="000000"/>
          <w:szCs w:val="20"/>
        </w:rPr>
      </w:pPr>
      <w:r>
        <w:rPr>
          <w:rFonts w:cs="Times New Roman"/>
          <w:b w:val="0"/>
          <w:bCs/>
          <w:color w:val="000000"/>
          <w:szCs w:val="20"/>
          <w:lang w:val="pt-BR"/>
        </w:rPr>
        <w:t xml:space="preserve">O </w:t>
      </w:r>
      <w:r>
        <w:rPr>
          <w:rFonts w:cs="Times New Roman"/>
          <w:b w:val="0"/>
          <w:bCs/>
          <w:color w:val="000000"/>
          <w:szCs w:val="20"/>
        </w:rPr>
        <w:t>valor pago mensalmente será ajustado ao resultado da avaliação do serviço por meio do Instrumento de Medição de Resultado, anexo indissociável do contrato</w:t>
      </w:r>
      <w:r>
        <w:rPr>
          <w:rFonts w:cs="Times New Roman"/>
          <w:b w:val="0"/>
          <w:bCs/>
          <w:color w:val="000000"/>
          <w:szCs w:val="20"/>
          <w:lang w:val="pt-BR"/>
        </w:rPr>
        <w:t>.</w:t>
      </w:r>
    </w:p>
    <w:p>
      <w:pPr>
        <w:numPr>
          <w:ilvl w:val="1"/>
          <w:numId w:val="2"/>
        </w:numPr>
        <w:spacing w:before="120" w:after="120" w:line="276" w:lineRule="auto"/>
        <w:ind w:left="425" w:firstLine="0"/>
        <w:jc w:val="both"/>
        <w:rPr>
          <w:rFonts w:cs="Times New Roman"/>
          <w:b w:val="0"/>
          <w:bCs/>
          <w:color w:val="000000"/>
          <w:szCs w:val="20"/>
        </w:rPr>
      </w:pPr>
      <w:r>
        <w:rPr>
          <w:rFonts w:cs="Times New Roman"/>
          <w:b w:val="0"/>
          <w:bCs/>
          <w:color w:val="000000"/>
          <w:szCs w:val="20"/>
          <w:lang w:val="pt-BR"/>
        </w:rPr>
        <w:t xml:space="preserve">O </w:t>
      </w:r>
      <w:r>
        <w:rPr>
          <w:rFonts w:cs="Times New Roman"/>
          <w:b w:val="0"/>
          <w:bCs/>
          <w:color w:val="000000"/>
          <w:szCs w:val="20"/>
        </w:rPr>
        <w:t>procedimento de avaliação dos serviços será realizado periodicamente pelos fiscais do contrato, com base em pontuações atribuídas a cada item conforme especificações constantes no Anexo</w:t>
      </w:r>
      <w:r>
        <w:rPr>
          <w:rFonts w:cs="Times New Roman"/>
          <w:b w:val="0"/>
          <w:bCs/>
          <w:color w:val="000000"/>
          <w:szCs w:val="20"/>
          <w:lang w:val="pt-BR"/>
        </w:rPr>
        <w:t>XIII</w:t>
      </w:r>
      <w:r>
        <w:rPr>
          <w:rFonts w:cs="Times New Roman"/>
          <w:b w:val="0"/>
          <w:bCs/>
          <w:color w:val="000000"/>
          <w:szCs w:val="20"/>
        </w:rPr>
        <w:t xml:space="preserve"> deste termo e do edital, gerando relatórios mensais de prestação de serviços executados</w:t>
      </w:r>
      <w:r>
        <w:rPr>
          <w:rFonts w:cs="Times New Roman"/>
          <w:b w:val="0"/>
          <w:bCs/>
          <w:color w:val="000000"/>
          <w:szCs w:val="20"/>
          <w:lang w:val="pt-BR"/>
        </w:rPr>
        <w:t>.</w:t>
      </w:r>
    </w:p>
    <w:p>
      <w:pPr>
        <w:numPr>
          <w:ilvl w:val="1"/>
          <w:numId w:val="2"/>
        </w:numPr>
        <w:spacing w:before="120" w:after="120" w:line="276" w:lineRule="auto"/>
        <w:ind w:left="425" w:firstLine="0"/>
        <w:jc w:val="both"/>
        <w:rPr>
          <w:rFonts w:cs="Times New Roman"/>
          <w:b w:val="0"/>
          <w:bCs/>
          <w:color w:val="000000"/>
          <w:szCs w:val="20"/>
        </w:rPr>
      </w:pPr>
      <w:r>
        <w:rPr>
          <w:rFonts w:cs="Times New Roman"/>
          <w:b w:val="0"/>
          <w:bCs/>
          <w:color w:val="000000"/>
          <w:szCs w:val="20"/>
          <w:lang w:val="pt-BR"/>
        </w:rPr>
        <w:t xml:space="preserve">A </w:t>
      </w:r>
      <w:r>
        <w:rPr>
          <w:rFonts w:cs="Times New Roman"/>
          <w:b w:val="0"/>
          <w:bCs/>
          <w:color w:val="000000"/>
          <w:szCs w:val="20"/>
        </w:rPr>
        <w:t>pontuação máxima será de 100 (cem) pontos</w:t>
      </w:r>
      <w:r>
        <w:rPr>
          <w:rFonts w:cs="Times New Roman"/>
          <w:b w:val="0"/>
          <w:bCs/>
          <w:color w:val="000000"/>
          <w:szCs w:val="20"/>
          <w:lang w:val="pt-BR"/>
        </w:rPr>
        <w:t>.</w:t>
      </w:r>
    </w:p>
    <w:p>
      <w:pPr>
        <w:numPr>
          <w:ilvl w:val="1"/>
          <w:numId w:val="2"/>
        </w:numPr>
        <w:spacing w:before="120" w:after="120" w:line="276" w:lineRule="auto"/>
        <w:ind w:left="425" w:firstLine="0"/>
        <w:jc w:val="both"/>
        <w:rPr>
          <w:rFonts w:cs="Times New Roman"/>
          <w:b w:val="0"/>
          <w:bCs/>
          <w:color w:val="000000"/>
          <w:szCs w:val="20"/>
        </w:rPr>
      </w:pPr>
      <w:r>
        <w:rPr>
          <w:rFonts w:cs="Times New Roman"/>
          <w:b w:val="0"/>
          <w:bCs/>
          <w:color w:val="000000"/>
          <w:szCs w:val="20"/>
          <w:lang w:val="pt-BR"/>
        </w:rPr>
        <w:t>O</w:t>
      </w:r>
      <w:r>
        <w:rPr>
          <w:rFonts w:cs="Times New Roman"/>
          <w:b w:val="0"/>
          <w:bCs/>
          <w:color w:val="000000"/>
          <w:szCs w:val="20"/>
        </w:rPr>
        <w:t>s serviços serão considerados insatisfatórios se a empresa não atingir 40 (quarenta) pontos</w:t>
      </w:r>
      <w:r>
        <w:rPr>
          <w:rFonts w:cs="Times New Roman"/>
          <w:b w:val="0"/>
          <w:bCs/>
          <w:color w:val="000000"/>
          <w:szCs w:val="20"/>
          <w:lang w:val="pt-BR"/>
        </w:rPr>
        <w:t>.</w:t>
      </w:r>
    </w:p>
    <w:p>
      <w:pPr>
        <w:numPr>
          <w:ilvl w:val="1"/>
          <w:numId w:val="2"/>
        </w:numPr>
        <w:spacing w:before="120" w:after="120" w:line="276" w:lineRule="auto"/>
        <w:ind w:left="425" w:firstLine="0"/>
        <w:jc w:val="both"/>
        <w:rPr>
          <w:rFonts w:cs="Times New Roman"/>
          <w:b w:val="0"/>
          <w:bCs/>
          <w:color w:val="000000"/>
          <w:szCs w:val="20"/>
        </w:rPr>
      </w:pPr>
      <w:r>
        <w:rPr>
          <w:rFonts w:cs="Times New Roman"/>
          <w:b w:val="0"/>
          <w:bCs/>
          <w:color w:val="000000"/>
          <w:szCs w:val="20"/>
          <w:lang w:val="pt-BR"/>
        </w:rPr>
        <w:t xml:space="preserve">O </w:t>
      </w:r>
      <w:r>
        <w:rPr>
          <w:rFonts w:cs="Times New Roman"/>
          <w:b w:val="0"/>
          <w:bCs/>
          <w:color w:val="000000"/>
          <w:szCs w:val="20"/>
        </w:rPr>
        <w:t>não atendimento das metas, por ínfima diferença poderá ser objeto apenas de notificação nas primeiras ocorrências, de modo a não comprometer a continuidade da contratação</w:t>
      </w:r>
      <w:r>
        <w:rPr>
          <w:rFonts w:cs="Times New Roman"/>
          <w:b w:val="0"/>
          <w:bCs/>
          <w:color w:val="000000"/>
          <w:szCs w:val="20"/>
          <w:lang w:val="pt-BR"/>
        </w:rPr>
        <w:t>.</w:t>
      </w:r>
    </w:p>
    <w:p>
      <w:pPr>
        <w:numPr>
          <w:ilvl w:val="1"/>
          <w:numId w:val="2"/>
        </w:numPr>
        <w:spacing w:before="120" w:after="120" w:line="276" w:lineRule="auto"/>
        <w:ind w:left="425" w:firstLine="0"/>
        <w:jc w:val="both"/>
        <w:rPr>
          <w:rFonts w:cs="Times New Roman"/>
          <w:b w:val="0"/>
          <w:bCs/>
          <w:color w:val="000000"/>
          <w:szCs w:val="20"/>
        </w:rPr>
      </w:pPr>
      <w:r>
        <w:rPr>
          <w:rFonts w:cs="Times New Roman"/>
          <w:b w:val="0"/>
          <w:bCs/>
          <w:color w:val="000000"/>
          <w:szCs w:val="20"/>
          <w:lang w:val="pt-BR"/>
        </w:rPr>
        <w:t xml:space="preserve">A </w:t>
      </w:r>
      <w:r>
        <w:rPr>
          <w:rFonts w:cs="Times New Roman"/>
          <w:b w:val="0"/>
          <w:bCs/>
          <w:color w:val="000000"/>
          <w:szCs w:val="20"/>
        </w:rPr>
        <w:t>Contratada poderá apresentar justificativa para a prestação dos serviços abaixo do nível de satisfação, que poderá ser aceita pela Contratante, desde que comprovada a excepcionalidade da ocorrência, resultante exclusivamente de fatores imprevisíveis e alheios ao controle da Contratad</w:t>
      </w:r>
      <w:r>
        <w:rPr>
          <w:rFonts w:cs="Times New Roman"/>
          <w:b w:val="0"/>
          <w:bCs/>
          <w:color w:val="000000"/>
          <w:szCs w:val="20"/>
          <w:lang w:val="pt-BR"/>
        </w:rPr>
        <w:t>a.</w:t>
      </w:r>
    </w:p>
    <w:p>
      <w:pPr>
        <w:numPr>
          <w:ilvl w:val="1"/>
          <w:numId w:val="2"/>
        </w:numPr>
        <w:spacing w:before="120" w:after="120" w:line="276" w:lineRule="auto"/>
        <w:ind w:left="425" w:firstLine="0"/>
        <w:jc w:val="both"/>
        <w:rPr>
          <w:rFonts w:cs="Times New Roman"/>
          <w:b w:val="0"/>
          <w:bCs/>
          <w:color w:val="000000"/>
          <w:szCs w:val="20"/>
        </w:rPr>
      </w:pPr>
      <w:r>
        <w:rPr>
          <w:rFonts w:cs="Times New Roman"/>
          <w:b w:val="0"/>
          <w:bCs/>
          <w:color w:val="000000"/>
          <w:szCs w:val="20"/>
        </w:rPr>
        <w:t>A critério da Contratante, a Contratada poderá ser penalizada com a rescisão contratual nas seguintes condições</w:t>
      </w:r>
      <w:r>
        <w:rPr>
          <w:rFonts w:cs="Times New Roman"/>
          <w:b w:val="0"/>
          <w:bCs/>
          <w:color w:val="000000"/>
          <w:szCs w:val="20"/>
          <w:lang w:val="pt-BR"/>
        </w:rPr>
        <w:t>:</w:t>
      </w:r>
    </w:p>
    <w:p>
      <w:pPr>
        <w:numPr>
          <w:ilvl w:val="1"/>
          <w:numId w:val="2"/>
        </w:numPr>
        <w:spacing w:before="120" w:after="120" w:line="276" w:lineRule="auto"/>
        <w:ind w:left="425" w:firstLine="0"/>
        <w:jc w:val="both"/>
        <w:rPr>
          <w:rFonts w:cs="Times New Roman"/>
          <w:b w:val="0"/>
          <w:bCs/>
          <w:color w:val="000000"/>
          <w:szCs w:val="20"/>
        </w:rPr>
      </w:pPr>
      <w:r>
        <w:rPr>
          <w:rFonts w:cs="Times New Roman"/>
          <w:b w:val="0"/>
          <w:bCs/>
          <w:color w:val="000000"/>
          <w:szCs w:val="20"/>
          <w:lang w:val="pt-BR"/>
        </w:rPr>
        <w:t>E</w:t>
      </w:r>
      <w:r>
        <w:rPr>
          <w:rFonts w:cs="Times New Roman"/>
          <w:b w:val="0"/>
          <w:bCs/>
          <w:color w:val="000000"/>
          <w:szCs w:val="20"/>
        </w:rPr>
        <w:t>m caso de reincidência de falhas penalizadas com o desconto de 10% (dez por cento) por mais de 3 (três) vezes durante a vigência do contrato ou a cada prorrogação, se houver</w:t>
      </w:r>
      <w:r>
        <w:rPr>
          <w:rFonts w:cs="Times New Roman"/>
          <w:b w:val="0"/>
          <w:bCs/>
          <w:color w:val="000000"/>
          <w:szCs w:val="20"/>
          <w:lang w:val="pt-BR"/>
        </w:rPr>
        <w:t>;</w:t>
      </w:r>
    </w:p>
    <w:p>
      <w:pPr>
        <w:numPr>
          <w:ilvl w:val="1"/>
          <w:numId w:val="2"/>
        </w:numPr>
        <w:spacing w:before="120" w:after="120" w:line="276" w:lineRule="auto"/>
        <w:ind w:left="425" w:firstLine="0"/>
        <w:jc w:val="both"/>
        <w:rPr>
          <w:rFonts w:cs="Times New Roman"/>
          <w:b w:val="0"/>
          <w:bCs/>
          <w:color w:val="000000"/>
          <w:szCs w:val="20"/>
        </w:rPr>
      </w:pPr>
      <w:r>
        <w:rPr>
          <w:rFonts w:cs="Times New Roman"/>
          <w:b w:val="0"/>
          <w:bCs/>
          <w:color w:val="000000"/>
          <w:szCs w:val="20"/>
          <w:lang w:val="pt-BR"/>
        </w:rPr>
        <w:t>F</w:t>
      </w:r>
      <w:r>
        <w:rPr>
          <w:rFonts w:cs="Times New Roman"/>
          <w:b w:val="0"/>
          <w:bCs/>
          <w:color w:val="000000"/>
          <w:szCs w:val="20"/>
        </w:rPr>
        <w:t>aixa de pontuação obtida abaixo de 25 (vinte e cinco) pontos</w:t>
      </w:r>
      <w:r>
        <w:rPr>
          <w:rFonts w:cs="Times New Roman"/>
          <w:b w:val="0"/>
          <w:bCs/>
          <w:color w:val="000000"/>
          <w:szCs w:val="20"/>
          <w:lang w:val="pt-BR"/>
        </w:rPr>
        <w:t>;</w:t>
      </w:r>
    </w:p>
    <w:p>
      <w:pPr>
        <w:numPr>
          <w:ilvl w:val="1"/>
          <w:numId w:val="2"/>
        </w:numPr>
        <w:spacing w:before="120" w:after="120" w:line="276" w:lineRule="auto"/>
        <w:ind w:left="425" w:firstLine="0"/>
        <w:jc w:val="both"/>
        <w:rPr>
          <w:rFonts w:cs="Times New Roman"/>
          <w:b w:val="0"/>
          <w:bCs/>
          <w:color w:val="000000"/>
          <w:szCs w:val="20"/>
        </w:rPr>
      </w:pPr>
      <w:r>
        <w:rPr>
          <w:rFonts w:cs="Times New Roman"/>
          <w:b w:val="0"/>
          <w:bCs/>
          <w:color w:val="000000"/>
          <w:szCs w:val="20"/>
          <w:lang w:val="pt-BR"/>
        </w:rPr>
        <w:t>A</w:t>
      </w:r>
      <w:r>
        <w:rPr>
          <w:rFonts w:cs="Times New Roman"/>
          <w:b w:val="0"/>
          <w:bCs/>
          <w:color w:val="000000"/>
          <w:szCs w:val="20"/>
        </w:rPr>
        <w:t>pontuação for inferior a 40 (quarenta) pontos por 3 (três) meses consecutivos</w:t>
      </w:r>
      <w:r>
        <w:rPr>
          <w:rFonts w:cs="Times New Roman"/>
          <w:b w:val="0"/>
          <w:bCs/>
          <w:color w:val="000000"/>
          <w:szCs w:val="20"/>
          <w:lang w:val="pt-BR"/>
        </w:rPr>
        <w:t>.</w:t>
      </w:r>
    </w:p>
    <w:bookmarkEnd w:id="0"/>
    <w:p>
      <w:pPr>
        <w:pStyle w:val="31"/>
      </w:pPr>
      <w:r>
        <w:t>REQUISITOS DA CONTRATAÇÃO</w:t>
      </w:r>
    </w:p>
    <w:p>
      <w:pPr>
        <w:pStyle w:val="16"/>
        <w:numPr>
          <w:ilvl w:val="1"/>
          <w:numId w:val="2"/>
        </w:numPr>
        <w:ind w:left="426"/>
        <w:jc w:val="both"/>
        <w:rPr>
          <w:rFonts w:ascii="Arial" w:hAnsi="Arial" w:eastAsia="Times New Roman" w:cs="Times New Roman"/>
          <w:b w:val="0"/>
          <w:bCs/>
          <w:color w:val="000000"/>
          <w:szCs w:val="20"/>
          <w:u w:val="none"/>
          <w:lang w:val="pt-BR" w:eastAsia="pt-BR" w:bidi="ar-SA"/>
        </w:rPr>
      </w:pPr>
      <w:r>
        <w:rPr>
          <w:rFonts w:ascii="Arial" w:hAnsi="Arial" w:eastAsia="Times New Roman" w:cs="Times New Roman"/>
          <w:b w:val="0"/>
          <w:bCs/>
          <w:color w:val="000000"/>
          <w:szCs w:val="20"/>
          <w:u w:val="none"/>
          <w:lang w:val="pt-BR" w:eastAsia="pt-BR" w:bidi="ar-SA"/>
        </w:rPr>
        <w:t>Empresa com experiência comprovada de pelo menos 03 anos no fornecimento de mão-de-obra em número de postos equivalentes ao da contratação;</w:t>
      </w:r>
    </w:p>
    <w:p>
      <w:pPr>
        <w:pStyle w:val="16"/>
        <w:numPr>
          <w:ilvl w:val="1"/>
          <w:numId w:val="2"/>
        </w:numPr>
        <w:ind w:left="426"/>
        <w:jc w:val="both"/>
        <w:rPr>
          <w:rFonts w:ascii="Arial" w:hAnsi="Arial" w:eastAsia="Times New Roman" w:cs="Times New Roman"/>
          <w:b w:val="0"/>
          <w:bCs/>
          <w:color w:val="000000"/>
          <w:szCs w:val="20"/>
          <w:u w:val="none"/>
          <w:lang w:val="pt-BR" w:eastAsia="pt-BR" w:bidi="ar-SA"/>
        </w:rPr>
      </w:pPr>
      <w:r>
        <w:rPr>
          <w:rFonts w:ascii="Arial" w:hAnsi="Arial" w:eastAsia="Times New Roman" w:cs="Times New Roman"/>
          <w:b w:val="0"/>
          <w:bCs/>
          <w:color w:val="000000"/>
          <w:szCs w:val="20"/>
          <w:u w:val="none"/>
          <w:lang w:val="pt-BR" w:eastAsia="pt-BR" w:bidi="ar-SA"/>
        </w:rPr>
        <w:t>Com Capital Circulante Líquido (CCL) ou Capital de Giro (Ativo Circulante – Passivo Circulante) de, no mínimo, 16,66% (dezesseis inteiros e sessenta e seis centésimos por cento) do valor estimado para a contratação;</w:t>
      </w:r>
    </w:p>
    <w:p>
      <w:pPr>
        <w:pStyle w:val="16"/>
        <w:numPr>
          <w:ilvl w:val="1"/>
          <w:numId w:val="2"/>
        </w:numPr>
        <w:ind w:left="426"/>
        <w:jc w:val="both"/>
        <w:rPr>
          <w:rFonts w:ascii="Arial" w:hAnsi="Arial" w:eastAsia="Times New Roman" w:cs="Times New Roman"/>
          <w:b w:val="0"/>
          <w:bCs/>
          <w:color w:val="000000"/>
          <w:szCs w:val="20"/>
          <w:u w:val="none"/>
          <w:lang w:val="pt-BR" w:eastAsia="pt-BR" w:bidi="ar-SA"/>
        </w:rPr>
      </w:pPr>
      <w:r>
        <w:rPr>
          <w:rFonts w:ascii="Arial" w:hAnsi="Arial" w:eastAsia="Times New Roman" w:cs="Times New Roman"/>
          <w:b w:val="0"/>
          <w:bCs/>
          <w:color w:val="000000"/>
          <w:szCs w:val="20"/>
          <w:u w:val="none"/>
          <w:lang w:val="pt-BR" w:eastAsia="pt-BR" w:bidi="ar-SA"/>
        </w:rPr>
        <w:t>Com Comprovação de patrimônio líquido de 10% (dez por cento) do valor estimado da contratação, por meio da apresentação do balanço patrimonial e demonstrações contáveis do último exercício social;</w:t>
      </w:r>
    </w:p>
    <w:p>
      <w:pPr>
        <w:pStyle w:val="16"/>
        <w:numPr>
          <w:ilvl w:val="1"/>
          <w:numId w:val="2"/>
        </w:numPr>
        <w:ind w:left="426"/>
        <w:jc w:val="both"/>
        <w:rPr>
          <w:rFonts w:ascii="Arial" w:hAnsi="Arial" w:eastAsia="Times New Roman" w:cs="Times New Roman"/>
          <w:b w:val="0"/>
          <w:bCs/>
          <w:color w:val="000000"/>
          <w:szCs w:val="20"/>
          <w:u w:val="single"/>
          <w:lang w:val="pt-BR" w:eastAsia="pt-BR" w:bidi="ar-SA"/>
        </w:rPr>
      </w:pPr>
      <w:r>
        <w:rPr>
          <w:rFonts w:ascii="Arial" w:hAnsi="Arial" w:eastAsia="Times New Roman" w:cs="Times New Roman"/>
          <w:b w:val="0"/>
          <w:bCs/>
          <w:color w:val="000000"/>
          <w:szCs w:val="20"/>
          <w:u w:val="single"/>
          <w:lang w:val="pt-BR" w:eastAsia="pt-BR" w:bidi="ar-SA"/>
        </w:rPr>
        <w:t>Cadastro no SICAF;</w:t>
      </w:r>
    </w:p>
    <w:p>
      <w:pPr>
        <w:pStyle w:val="16"/>
        <w:numPr>
          <w:ilvl w:val="1"/>
          <w:numId w:val="2"/>
        </w:numPr>
        <w:ind w:left="426"/>
        <w:jc w:val="both"/>
        <w:rPr>
          <w:rFonts w:asciiTheme="minorHAnsi" w:hAnsiTheme="minorHAnsi"/>
          <w:sz w:val="24"/>
          <w:u w:val="single"/>
        </w:rPr>
      </w:pPr>
      <w:r>
        <w:rPr>
          <w:rFonts w:cs="Helvetica" w:asciiTheme="minorHAnsi" w:hAnsiTheme="minorHAnsi"/>
          <w:sz w:val="24"/>
        </w:rPr>
        <w:t>Os profissionais são enquadrados na Classificação Brasileira de Ocupações</w:t>
      </w:r>
    </w:p>
    <w:p>
      <w:pPr>
        <w:pStyle w:val="16"/>
        <w:ind w:left="360"/>
        <w:rPr>
          <w:color w:val="FF0000"/>
        </w:rPr>
      </w:pPr>
    </w:p>
    <w:p>
      <w:pPr>
        <w:pStyle w:val="31"/>
      </w:pPr>
      <w:r>
        <w:t>MODELO DE GESTÃO DO CONTRATO E CRITÉRIOS DE MEDIÇÃO E PAGAMENTO</w:t>
      </w:r>
    </w:p>
    <w:p/>
    <w:p>
      <w:pPr>
        <w:pStyle w:val="16"/>
        <w:numPr>
          <w:ilvl w:val="1"/>
          <w:numId w:val="2"/>
        </w:numPr>
        <w:ind w:left="426"/>
        <w:jc w:val="both"/>
        <w:rPr>
          <w:rFonts w:ascii="Arial" w:hAnsi="Arial" w:eastAsia="Times New Roman" w:cs="Times New Roman"/>
          <w:bCs/>
          <w:color w:val="000000"/>
          <w:szCs w:val="20"/>
          <w:lang w:val="pt-BR" w:eastAsia="pt-BR" w:bidi="ar-SA"/>
        </w:rPr>
      </w:pPr>
      <w:r>
        <w:rPr>
          <w:rFonts w:ascii="Arial" w:hAnsi="Arial" w:eastAsia="Times New Roman" w:cs="Times New Roman"/>
          <w:bCs/>
          <w:color w:val="000000"/>
          <w:szCs w:val="20"/>
          <w:lang w:val="pt-BR" w:eastAsia="pt-BR" w:bidi="ar-SA"/>
        </w:rPr>
        <w:t>O contrato será fiscalizado por servidores nomeados que acompanharão a execução dos serviços contratados.</w:t>
      </w:r>
    </w:p>
    <w:p>
      <w:pPr>
        <w:pStyle w:val="16"/>
        <w:numPr>
          <w:ilvl w:val="1"/>
          <w:numId w:val="2"/>
        </w:numPr>
        <w:ind w:left="426"/>
        <w:jc w:val="both"/>
        <w:rPr>
          <w:rFonts w:ascii="Arial" w:hAnsi="Arial" w:eastAsia="Times New Roman" w:cs="Times New Roman"/>
          <w:bCs/>
          <w:color w:val="000000"/>
          <w:szCs w:val="20"/>
          <w:lang w:val="pt-BR" w:eastAsia="pt-BR" w:bidi="ar-SA"/>
        </w:rPr>
      </w:pPr>
      <w:r>
        <w:rPr>
          <w:rFonts w:ascii="Arial" w:hAnsi="Arial" w:eastAsia="Times New Roman" w:cs="Times New Roman"/>
          <w:bCs/>
          <w:color w:val="000000"/>
          <w:szCs w:val="20"/>
          <w:lang w:val="pt-BR" w:eastAsia="pt-BR" w:bidi="ar-SA"/>
        </w:rPr>
        <w:t xml:space="preserve">Além dos fiscais representante da Administração, haverá os Gestores de Contrato, que tem por responsabilidade gerir o contrato em seu aspecto formal e legal, </w:t>
      </w:r>
    </w:p>
    <w:p>
      <w:pPr>
        <w:pStyle w:val="16"/>
        <w:numPr>
          <w:ilvl w:val="1"/>
          <w:numId w:val="2"/>
        </w:numPr>
        <w:ind w:left="426"/>
        <w:jc w:val="both"/>
        <w:rPr>
          <w:rFonts w:ascii="Arial" w:hAnsi="Arial" w:eastAsia="Times New Roman" w:cs="Times New Roman"/>
          <w:bCs/>
          <w:color w:val="000000"/>
          <w:szCs w:val="20"/>
          <w:lang w:val="pt-BR" w:eastAsia="pt-BR" w:bidi="ar-SA"/>
        </w:rPr>
      </w:pPr>
      <w:r>
        <w:rPr>
          <w:rFonts w:ascii="Arial" w:hAnsi="Arial" w:eastAsia="Times New Roman" w:cs="Times New Roman"/>
          <w:bCs/>
          <w:color w:val="000000"/>
          <w:szCs w:val="20"/>
          <w:lang w:val="pt-BR" w:eastAsia="pt-BR" w:bidi="ar-SA"/>
        </w:rPr>
        <w:t>As tratativas deverão ser sempre por escrita, dando preferência para o Ofício, entretanto também deverão ser aceito as comunicações por meio eletrônico, como o e-mail.</w:t>
      </w:r>
    </w:p>
    <w:p>
      <w:pPr>
        <w:pStyle w:val="16"/>
        <w:numPr>
          <w:ilvl w:val="1"/>
          <w:numId w:val="2"/>
        </w:numPr>
        <w:ind w:left="426"/>
        <w:jc w:val="both"/>
        <w:rPr>
          <w:rFonts w:ascii="Arial" w:hAnsi="Arial" w:eastAsia="Times New Roman" w:cs="Times New Roman"/>
          <w:bCs/>
          <w:color w:val="000000"/>
          <w:szCs w:val="20"/>
          <w:lang w:val="pt-BR" w:eastAsia="pt-BR" w:bidi="ar-SA"/>
        </w:rPr>
      </w:pPr>
      <w:r>
        <w:rPr>
          <w:rFonts w:ascii="Arial" w:hAnsi="Arial" w:eastAsia="Times New Roman" w:cs="Times New Roman"/>
          <w:bCs/>
          <w:color w:val="000000"/>
          <w:szCs w:val="20"/>
          <w:lang w:val="pt-BR" w:eastAsia="pt-BR" w:bidi="ar-SA"/>
        </w:rPr>
        <w:t xml:space="preserve"> Os procedimentos para o envio da nota fiscal, correção e pagamento estão estabelecidos no item 20 do Edital.</w:t>
      </w:r>
    </w:p>
    <w:p>
      <w:pPr>
        <w:pStyle w:val="16"/>
        <w:numPr>
          <w:ilvl w:val="1"/>
          <w:numId w:val="2"/>
        </w:numPr>
        <w:ind w:left="426"/>
        <w:jc w:val="both"/>
        <w:rPr>
          <w:rFonts w:ascii="Arial" w:hAnsi="Arial" w:eastAsia="Times New Roman" w:cs="Times New Roman"/>
          <w:bCs/>
          <w:color w:val="000000"/>
          <w:szCs w:val="20"/>
          <w:lang w:val="pt-BR" w:eastAsia="pt-BR" w:bidi="ar-SA"/>
        </w:rPr>
      </w:pPr>
      <w:r>
        <w:rPr>
          <w:rFonts w:ascii="Arial" w:hAnsi="Arial" w:eastAsia="Times New Roman" w:cs="Times New Roman"/>
          <w:bCs/>
          <w:color w:val="000000"/>
          <w:szCs w:val="20"/>
          <w:lang w:val="pt-BR" w:eastAsia="pt-BR" w:bidi="ar-SA"/>
        </w:rPr>
        <w:t xml:space="preserve">Surgindo fatores que estejam fora do controle do prestador e que possam interferir na prestação quantitativa ou qualitativa dos serviços deverão ser comunicados à Contratante com a maior brevidade possível, para que esta tome as medidas necessárias para a inteira satisfação na execução do contrato. </w:t>
      </w:r>
    </w:p>
    <w:p>
      <w:pPr>
        <w:pStyle w:val="16"/>
        <w:numPr>
          <w:ilvl w:val="1"/>
          <w:numId w:val="2"/>
        </w:numPr>
        <w:ind w:left="426"/>
        <w:jc w:val="both"/>
        <w:rPr>
          <w:rFonts w:ascii="Arial" w:hAnsi="Arial" w:eastAsia="Times New Roman" w:cs="Times New Roman"/>
          <w:bCs/>
          <w:color w:val="000000"/>
          <w:szCs w:val="20"/>
          <w:lang w:val="pt-BR" w:eastAsia="pt-BR" w:bidi="ar-SA"/>
        </w:rPr>
      </w:pPr>
      <w:r>
        <w:rPr>
          <w:rFonts w:ascii="Arial" w:hAnsi="Arial" w:eastAsia="Times New Roman" w:cs="Times New Roman"/>
          <w:bCs/>
          <w:color w:val="000000"/>
          <w:szCs w:val="20"/>
          <w:lang w:val="pt-BR" w:eastAsia="pt-BR" w:bidi="ar-SA"/>
        </w:rPr>
        <w:t>Os indicadores de produtividades a ser conferidos estão elencados no item 6 deste Termo de Referência.</w:t>
      </w:r>
    </w:p>
    <w:p>
      <w:pPr>
        <w:pStyle w:val="16"/>
        <w:numPr>
          <w:ilvl w:val="1"/>
          <w:numId w:val="2"/>
        </w:numPr>
        <w:ind w:left="426"/>
        <w:jc w:val="both"/>
        <w:rPr>
          <w:rFonts w:ascii="Arial" w:hAnsi="Arial" w:eastAsia="Times New Roman" w:cs="Times New Roman"/>
          <w:bCs/>
          <w:color w:val="000000"/>
          <w:szCs w:val="20"/>
          <w:lang w:val="pt-BR" w:eastAsia="pt-BR" w:bidi="ar-SA"/>
        </w:rPr>
      </w:pPr>
      <w:r>
        <w:rPr>
          <w:rFonts w:ascii="Arial" w:hAnsi="Arial" w:eastAsia="Times New Roman" w:cs="Times New Roman"/>
          <w:bCs/>
          <w:color w:val="000000"/>
          <w:szCs w:val="20"/>
          <w:lang w:val="pt-BR" w:eastAsia="pt-BR" w:bidi="ar-SA"/>
        </w:rPr>
        <w:t>A não prestação de acordo com os níveis de produtividade definidos serão objetos de sanções administrativas conforme item 19 deste TR.</w:t>
      </w:r>
    </w:p>
    <w:p>
      <w:pPr>
        <w:pStyle w:val="16"/>
        <w:numPr>
          <w:ilvl w:val="1"/>
          <w:numId w:val="2"/>
        </w:numPr>
        <w:ind w:left="426"/>
        <w:jc w:val="both"/>
        <w:rPr>
          <w:rFonts w:ascii="Arial" w:hAnsi="Arial" w:eastAsia="Times New Roman" w:cs="Times New Roman"/>
          <w:bCs/>
          <w:color w:val="000000"/>
          <w:szCs w:val="20"/>
          <w:lang w:val="pt-BR" w:eastAsia="pt-BR" w:bidi="ar-SA"/>
        </w:rPr>
      </w:pPr>
      <w:r>
        <w:rPr>
          <w:rFonts w:ascii="Arial" w:hAnsi="Arial" w:eastAsia="Times New Roman" w:cs="Times New Roman"/>
          <w:bCs/>
          <w:color w:val="000000"/>
          <w:szCs w:val="20"/>
          <w:lang w:val="pt-BR" w:eastAsia="pt-BR" w:bidi="ar-SA"/>
        </w:rPr>
        <w:t>Os equipamentos serão pagos apenas a depreciação e manutenção mensal/anual, uma vez que ao final do contrato estes verterão à contratada.</w:t>
      </w:r>
    </w:p>
    <w:p>
      <w:pPr>
        <w:pStyle w:val="16"/>
        <w:numPr>
          <w:ilvl w:val="1"/>
          <w:numId w:val="2"/>
        </w:numPr>
        <w:ind w:left="426"/>
        <w:jc w:val="both"/>
        <w:rPr>
          <w:rFonts w:ascii="Arial" w:hAnsi="Arial" w:eastAsia="Times New Roman" w:cs="Times New Roman"/>
          <w:bCs/>
          <w:color w:val="000000"/>
          <w:szCs w:val="20"/>
          <w:lang w:val="pt-BR" w:eastAsia="pt-BR" w:bidi="ar-SA"/>
        </w:rPr>
      </w:pPr>
      <w:r>
        <w:rPr>
          <w:rFonts w:ascii="Arial" w:hAnsi="Arial" w:eastAsia="Times New Roman" w:cs="Times New Roman"/>
          <w:bCs/>
          <w:color w:val="000000"/>
          <w:szCs w:val="20"/>
          <w:lang w:val="pt-BR" w:eastAsia="pt-BR" w:bidi="ar-SA"/>
        </w:rPr>
        <w:t>O não atendimento das metas, por ínfima ou pequena diferença, em indicadores não relevantes ou críticos, a critério do órgão ou entidade, poderá ser objeto apenas de notificação nas primeiras ocorrências, de modo a não comprometer a continuidade da contratação.</w:t>
      </w:r>
    </w:p>
    <w:p>
      <w:pPr>
        <w:pStyle w:val="31"/>
      </w:pPr>
      <w:r>
        <w:t>UNIFORMES</w:t>
      </w:r>
    </w:p>
    <w:p>
      <w:pPr>
        <w:numPr>
          <w:ilvl w:val="1"/>
          <w:numId w:val="2"/>
        </w:numPr>
        <w:spacing w:before="120" w:after="120" w:line="276" w:lineRule="auto"/>
        <w:ind w:left="425" w:firstLine="0"/>
        <w:jc w:val="both"/>
        <w:rPr>
          <w:rFonts w:cs="Times New Roman"/>
          <w:bCs/>
          <w:color w:val="000000"/>
          <w:szCs w:val="20"/>
        </w:rPr>
      </w:pPr>
      <w:r>
        <w:rPr>
          <w:rFonts w:cs="Times New Roman"/>
          <w:bCs/>
          <w:color w:val="000000"/>
          <w:szCs w:val="20"/>
        </w:rPr>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pPr>
        <w:numPr>
          <w:ilvl w:val="2"/>
          <w:numId w:val="2"/>
        </w:numPr>
        <w:tabs>
          <w:tab w:val="left" w:pos="1134"/>
          <w:tab w:val="left" w:pos="1418"/>
        </w:tabs>
        <w:spacing w:before="120" w:after="120" w:line="276" w:lineRule="auto"/>
        <w:ind w:left="709" w:firstLine="0"/>
        <w:jc w:val="both"/>
        <w:rPr>
          <w:rFonts w:cs="Times New Roman"/>
          <w:bCs/>
          <w:color w:val="000000"/>
          <w:szCs w:val="20"/>
        </w:rPr>
      </w:pPr>
      <w:r>
        <w:rPr>
          <w:rFonts w:cs="Times New Roman"/>
          <w:bCs/>
          <w:color w:val="000000"/>
          <w:szCs w:val="20"/>
        </w:rPr>
        <w:t xml:space="preserve">O uniforme deverá compreender as seguintes peças do vestuário: calca ou saia, camisa ou camiseta ou/e jaleco, meia e calcado, apropriados para o desempenho de cada atividade. Que deverão ser confortáveis, de boa qualidade, discretos, de forma a propiciarem a boa aparência dos empregados. </w:t>
      </w:r>
    </w:p>
    <w:p>
      <w:pPr>
        <w:numPr>
          <w:ilvl w:val="2"/>
          <w:numId w:val="2"/>
        </w:numPr>
        <w:spacing w:before="120" w:after="120" w:line="276" w:lineRule="auto"/>
        <w:ind w:left="1200" w:leftChars="0" w:hanging="504" w:firstLineChars="0"/>
        <w:jc w:val="both"/>
        <w:rPr>
          <w:rFonts w:cs="Times New Roman"/>
          <w:bCs/>
          <w:color w:val="000000"/>
          <w:szCs w:val="20"/>
        </w:rPr>
      </w:pPr>
      <w:r>
        <w:rPr>
          <w:rFonts w:cs="Times New Roman"/>
          <w:bCs/>
          <w:color w:val="000000"/>
          <w:szCs w:val="20"/>
        </w:rPr>
        <w:t>O fornecimento dos uniformes deverá ser efetivado da seguinte forma:</w:t>
      </w:r>
    </w:p>
    <w:p>
      <w:pPr>
        <w:numPr>
          <w:ilvl w:val="3"/>
          <w:numId w:val="2"/>
        </w:numPr>
        <w:tabs>
          <w:tab w:val="left" w:pos="1276"/>
          <w:tab w:val="left" w:pos="1418"/>
          <w:tab w:val="left" w:pos="1985"/>
        </w:tabs>
        <w:spacing w:before="120" w:after="120" w:line="276" w:lineRule="auto"/>
        <w:ind w:left="1134" w:firstLine="0"/>
        <w:jc w:val="both"/>
        <w:rPr>
          <w:rFonts w:cs="Times New Roman"/>
          <w:bCs/>
          <w:color w:val="000000"/>
          <w:szCs w:val="20"/>
        </w:rPr>
      </w:pPr>
      <w:r>
        <w:rPr>
          <w:rFonts w:cs="Times New Roman"/>
          <w:bCs/>
          <w:szCs w:val="20"/>
        </w:rPr>
        <w:t xml:space="preserve">02(dois) </w:t>
      </w:r>
      <w:r>
        <w:rPr>
          <w:rFonts w:cs="Times New Roman"/>
          <w:bCs/>
          <w:color w:val="000000"/>
          <w:szCs w:val="20"/>
        </w:rPr>
        <w:t>conjuntos completos ao empregado no início da execução do contrato, devendo ser substituído 01 (um) conjunto completo de uniforme a cada 06 (seis) meses, ou a qualquer época, no prazo máximo de 24</w:t>
      </w:r>
      <w:r>
        <w:rPr>
          <w:rFonts w:cs="Times New Roman"/>
          <w:bCs/>
          <w:color w:val="FF0000"/>
          <w:szCs w:val="20"/>
        </w:rPr>
        <w:t xml:space="preserve"> </w:t>
      </w:r>
      <w:r>
        <w:rPr>
          <w:rFonts w:cs="Times New Roman"/>
          <w:bCs/>
          <w:szCs w:val="20"/>
        </w:rPr>
        <w:t xml:space="preserve">(vinte e quatro) </w:t>
      </w:r>
      <w:r>
        <w:rPr>
          <w:rFonts w:cs="Times New Roman"/>
          <w:bCs/>
          <w:color w:val="000000"/>
          <w:szCs w:val="20"/>
        </w:rPr>
        <w:t>horas, após comunicação escrita da Contratante, sempre que não atendam as condições mínimas de apresentação;</w:t>
      </w:r>
    </w:p>
    <w:p>
      <w:pPr>
        <w:numPr>
          <w:ilvl w:val="3"/>
          <w:numId w:val="2"/>
        </w:numPr>
        <w:tabs>
          <w:tab w:val="left" w:pos="1985"/>
        </w:tabs>
        <w:spacing w:before="120" w:after="120" w:line="276" w:lineRule="auto"/>
        <w:ind w:left="1134" w:firstLine="0"/>
        <w:jc w:val="both"/>
        <w:rPr>
          <w:rFonts w:cs="Times New Roman"/>
          <w:bCs/>
          <w:color w:val="000000"/>
          <w:szCs w:val="20"/>
        </w:rPr>
      </w:pPr>
      <w:r>
        <w:rPr>
          <w:rFonts w:cs="Times New Roman"/>
          <w:bCs/>
          <w:color w:val="000000"/>
          <w:szCs w:val="20"/>
        </w:rPr>
        <w:t>No caso de empregada gestante, os uniformes deverão ser apropriados para a situação, substituindo-os sempre que estiverem apertados;</w:t>
      </w:r>
    </w:p>
    <w:p>
      <w:pPr>
        <w:numPr>
          <w:ilvl w:val="1"/>
          <w:numId w:val="2"/>
        </w:numPr>
        <w:spacing w:before="120" w:after="120" w:line="276" w:lineRule="auto"/>
        <w:ind w:left="425" w:firstLine="0"/>
        <w:jc w:val="both"/>
        <w:rPr>
          <w:rFonts w:cs="Times New Roman"/>
          <w:bCs/>
          <w:color w:val="000000"/>
          <w:szCs w:val="20"/>
        </w:rPr>
      </w:pPr>
      <w:r>
        <w:rPr>
          <w:rFonts w:cs="Times New Roman"/>
          <w:bCs/>
          <w:color w:val="000000"/>
          <w:szCs w:val="20"/>
        </w:rPr>
        <w:t>Os uniformes deverão ser entregues mediante recibo, cuja cópia, devidamente acompanhada do original para conferência, deverá ser enviada ao servidor responsável pela fiscalização do contrato.</w:t>
      </w:r>
    </w:p>
    <w:p>
      <w:pPr>
        <w:pStyle w:val="31"/>
      </w:pPr>
      <w:r>
        <w:t>MATERIAIS A SEREM DISPONIBILIZADOS</w:t>
      </w:r>
    </w:p>
    <w:p>
      <w:pPr>
        <w:numPr>
          <w:ilvl w:val="1"/>
          <w:numId w:val="2"/>
        </w:numPr>
        <w:spacing w:before="120" w:after="120" w:line="276" w:lineRule="auto"/>
        <w:ind w:left="426" w:firstLine="0"/>
        <w:jc w:val="both"/>
        <w:rPr>
          <w:rFonts w:cs="Times New Roman"/>
          <w:bCs/>
          <w:color w:val="000000"/>
          <w:szCs w:val="20"/>
        </w:rPr>
      </w:pPr>
      <w:r>
        <w:rPr>
          <w:rFonts w:cs="Times New Roman"/>
          <w:bCs/>
          <w:color w:val="000000"/>
          <w:szCs w:val="20"/>
        </w:rPr>
        <w:t>Para a perfeita execução dos serviços, a Contratada deverá disponibilizar os materiais, equipamentos, ferramentas e utensílios necessários, nas quantidades estimadas e qualidades a estabelecidas nos</w:t>
      </w:r>
      <w:r>
        <w:rPr>
          <w:rFonts w:cs="Times New Roman"/>
          <w:bCs/>
          <w:color w:val="000000"/>
          <w:szCs w:val="20"/>
          <w:highlight w:val="none"/>
        </w:rPr>
        <w:t xml:space="preserve"> ANEXO II</w:t>
      </w:r>
      <w:r>
        <w:rPr>
          <w:rFonts w:cs="Times New Roman"/>
          <w:bCs/>
          <w:color w:val="000000"/>
          <w:szCs w:val="20"/>
          <w:highlight w:val="none"/>
          <w:lang w:val="pt-BR"/>
        </w:rPr>
        <w:t>I</w:t>
      </w:r>
      <w:r>
        <w:rPr>
          <w:rFonts w:cs="Times New Roman"/>
          <w:bCs/>
          <w:color w:val="000000"/>
          <w:szCs w:val="20"/>
          <w:highlight w:val="none"/>
        </w:rPr>
        <w:t xml:space="preserve"> e I</w:t>
      </w:r>
      <w:r>
        <w:rPr>
          <w:rFonts w:cs="Times New Roman"/>
          <w:bCs/>
          <w:color w:val="000000"/>
          <w:szCs w:val="20"/>
          <w:highlight w:val="none"/>
          <w:lang w:val="pt-BR"/>
        </w:rPr>
        <w:t>V</w:t>
      </w:r>
      <w:r>
        <w:rPr>
          <w:rFonts w:cs="Times New Roman"/>
          <w:bCs/>
          <w:color w:val="000000"/>
          <w:szCs w:val="20"/>
        </w:rPr>
        <w:t>, promovendo sua substituição quando necessário.</w:t>
      </w:r>
    </w:p>
    <w:p>
      <w:pPr>
        <w:numPr>
          <w:ilvl w:val="1"/>
          <w:numId w:val="2"/>
        </w:numPr>
        <w:spacing w:before="120" w:after="120" w:line="276" w:lineRule="auto"/>
        <w:ind w:left="426" w:firstLine="0"/>
        <w:jc w:val="both"/>
        <w:rPr>
          <w:rFonts w:cs="Times New Roman"/>
          <w:b/>
          <w:bCs/>
          <w:color w:val="000000"/>
          <w:szCs w:val="20"/>
        </w:rPr>
      </w:pPr>
      <w:r>
        <w:rPr>
          <w:rFonts w:cs="Times New Roman"/>
          <w:b/>
          <w:bCs/>
          <w:color w:val="000000"/>
          <w:szCs w:val="20"/>
        </w:rPr>
        <w:t>Os materiais constantes no Anexo I</w:t>
      </w:r>
      <w:r>
        <w:rPr>
          <w:rFonts w:cs="Times New Roman"/>
          <w:b/>
          <w:bCs/>
          <w:color w:val="000000"/>
          <w:szCs w:val="20"/>
          <w:lang w:val="pt-BR"/>
        </w:rPr>
        <w:t>I</w:t>
      </w:r>
      <w:r>
        <w:rPr>
          <w:rFonts w:cs="Times New Roman"/>
          <w:b/>
          <w:bCs/>
          <w:color w:val="000000"/>
          <w:szCs w:val="20"/>
        </w:rPr>
        <w:t>I serão faturados por medição, ou seja, será efetuado o pagamento conforme o quantitativo consumido no mês, após conferência do setor responsável pela fiscalização do contrato.</w:t>
      </w:r>
    </w:p>
    <w:p>
      <w:pPr>
        <w:numPr>
          <w:ilvl w:val="1"/>
          <w:numId w:val="2"/>
        </w:numPr>
        <w:spacing w:before="120" w:after="120" w:line="276" w:lineRule="auto"/>
        <w:ind w:left="426" w:firstLine="0"/>
        <w:jc w:val="both"/>
        <w:rPr>
          <w:rFonts w:cs="Times New Roman"/>
          <w:b/>
          <w:bCs/>
          <w:color w:val="000000"/>
          <w:szCs w:val="20"/>
        </w:rPr>
      </w:pPr>
      <w:r>
        <w:rPr>
          <w:rFonts w:cs="Times New Roman"/>
          <w:b/>
          <w:bCs/>
          <w:color w:val="000000"/>
          <w:szCs w:val="20"/>
        </w:rPr>
        <w:t>Os materiais fornecidos deverão ser de 1ª qualidade e ter prazo de validade mínima de 6 (seis) meses a partir da data de entrega.</w:t>
      </w:r>
    </w:p>
    <w:p>
      <w:pPr>
        <w:pStyle w:val="31"/>
        <w:rPr>
          <w:lang w:eastAsia="en-US"/>
        </w:rPr>
      </w:pPr>
      <w:r>
        <w:rPr>
          <w:lang w:eastAsia="en-US"/>
        </w:rPr>
        <w:t>INÍCIO DA EXECUÇÃO DOS SERVIÇOS</w:t>
      </w:r>
    </w:p>
    <w:p>
      <w:pPr>
        <w:pStyle w:val="16"/>
        <w:numPr>
          <w:ilvl w:val="1"/>
          <w:numId w:val="2"/>
        </w:numPr>
        <w:spacing w:before="120" w:after="120" w:line="276" w:lineRule="auto"/>
        <w:ind w:hanging="6"/>
        <w:jc w:val="both"/>
        <w:rPr>
          <w:rFonts w:ascii="Times New Roman" w:hAnsi="Times New Roman" w:cs="Times New Roman"/>
          <w:bCs/>
          <w:color w:val="000000"/>
          <w:lang w:eastAsia="en-US"/>
        </w:rPr>
      </w:pPr>
      <w:r>
        <w:rPr>
          <w:rFonts w:cs="Times New Roman"/>
          <w:bCs/>
          <w:color w:val="000000"/>
          <w:szCs w:val="20"/>
          <w:lang w:eastAsia="en-US"/>
        </w:rPr>
        <w:t>A execução dos serviços será iniciada com a assinatura do contrato.</w:t>
      </w:r>
    </w:p>
    <w:p>
      <w:pPr>
        <w:pStyle w:val="31"/>
        <w:rPr>
          <w:i/>
          <w:color w:val="auto"/>
        </w:rPr>
      </w:pPr>
      <w:r>
        <w:rPr>
          <w:i/>
          <w:color w:val="auto"/>
        </w:rPr>
        <w:t>DA VISTORIA</w:t>
      </w:r>
    </w:p>
    <w:p>
      <w:pPr>
        <w:numPr>
          <w:ilvl w:val="1"/>
          <w:numId w:val="2"/>
        </w:numPr>
        <w:spacing w:before="120" w:after="120" w:line="276" w:lineRule="auto"/>
        <w:ind w:left="425" w:firstLine="0"/>
        <w:jc w:val="both"/>
        <w:rPr>
          <w:i/>
          <w:szCs w:val="20"/>
        </w:rPr>
      </w:pPr>
      <w:r>
        <w:rPr>
          <w:i/>
          <w:szCs w:val="20"/>
        </w:rPr>
        <w:t xml:space="preserve">Para o correto dimensionamento e elaboração de sua proposta, o licitante </w:t>
      </w:r>
      <w:r>
        <w:rPr>
          <w:b/>
          <w:i/>
          <w:szCs w:val="20"/>
          <w:u w:val="single"/>
        </w:rPr>
        <w:t xml:space="preserve">poderá </w:t>
      </w:r>
      <w:r>
        <w:rPr>
          <w:i/>
          <w:szCs w:val="20"/>
        </w:rPr>
        <w:t>realizar vistoria nas instalações do local de execução dos serviços, acompanhado por servidor designado para esse fim, de segunda à sexta-feira, da 09:00 horas às 11:30 horas e da 14:00 horas às 16:30 horas, devendo o agendamento ser efetuado previamente</w:t>
      </w:r>
      <w:r>
        <w:rPr>
          <w:i/>
          <w:szCs w:val="20"/>
          <w:lang w:val="pt-BR"/>
        </w:rPr>
        <w:t>.</w:t>
      </w:r>
    </w:p>
    <w:p>
      <w:pPr>
        <w:numPr>
          <w:ilvl w:val="1"/>
          <w:numId w:val="2"/>
        </w:numPr>
        <w:spacing w:before="120" w:after="120" w:line="276" w:lineRule="auto"/>
        <w:ind w:left="425" w:firstLine="0"/>
        <w:jc w:val="both"/>
        <w:rPr>
          <w:i/>
          <w:szCs w:val="20"/>
        </w:rPr>
      </w:pPr>
      <w:r>
        <w:rPr>
          <w:i/>
          <w:szCs w:val="20"/>
        </w:rPr>
        <w:t>O prazo para vistoria iniciar-se-á no dia útil seguinte ao da publicação do Edital, estendendo-se até o dia útil anterior à data prevista para a abertura da sessão pública.</w:t>
      </w:r>
    </w:p>
    <w:p>
      <w:pPr>
        <w:numPr>
          <w:ilvl w:val="1"/>
          <w:numId w:val="2"/>
        </w:numPr>
        <w:spacing w:before="120" w:after="120" w:line="276" w:lineRule="auto"/>
        <w:ind w:left="425" w:firstLine="0"/>
        <w:jc w:val="both"/>
        <w:rPr>
          <w:rFonts w:cs="Times New Roman"/>
          <w:bCs/>
          <w:i/>
          <w:szCs w:val="20"/>
        </w:rPr>
      </w:pPr>
      <w:r>
        <w:rPr>
          <w:i/>
          <w:szCs w:val="20"/>
        </w:rPr>
        <w:t>Para a vistoria, o licitante, ou o seu representante, deverá estar devidamente identificado.</w:t>
      </w:r>
    </w:p>
    <w:p>
      <w:pPr>
        <w:pStyle w:val="36"/>
        <w:numPr>
          <w:ilvl w:val="1"/>
          <w:numId w:val="2"/>
        </w:numPr>
        <w:spacing w:before="120" w:after="120" w:line="360" w:lineRule="auto"/>
        <w:ind w:hanging="6"/>
        <w:jc w:val="both"/>
        <w:rPr>
          <w:rFonts w:ascii="Arial" w:hAnsi="Arial" w:cs="Tahoma"/>
          <w:b/>
          <w:i/>
          <w:kern w:val="0"/>
          <w:sz w:val="20"/>
          <w:lang w:eastAsia="pt-BR"/>
        </w:rPr>
      </w:pPr>
      <w:r>
        <w:rPr>
          <w:rFonts w:ascii="Arial" w:hAnsi="Arial" w:cs="Tahoma"/>
          <w:b/>
          <w:i/>
          <w:kern w:val="0"/>
          <w:sz w:val="20"/>
          <w:lang w:eastAsia="pt-BR"/>
        </w:rPr>
        <w:t>Tendo em vista a faculdade da realização da vistoria, os licitantes não poderão alegar o desconhecimento das condições e grau de dificuldades existentes como justificativa para se eximirem das obrigações assumidas ou em favor de eventuais pretensões de acréscimos de preços em decorrência da execução do objeto desse Pregão.</w:t>
      </w:r>
    </w:p>
    <w:p>
      <w:pPr>
        <w:pStyle w:val="31"/>
      </w:pPr>
      <w:r>
        <w:rPr>
          <w:lang w:eastAsia="en-US"/>
        </w:rPr>
        <w:t>OBRIGAÇÕES DA CONTRATANTE</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Exigir o cumprimento de todas as obrigações assumidas pela Contratada, de acordo com as cláusulas contratuais e os termos de sua proposta;</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Notificar a Contratada por escrito da ocorrência de eventuais imperfeições no curso da execução dos serviços, fixando prazo para a sua correção;</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Pagar à Contratada o valor resultante da prestação do serviço, no prazo e condições estabelecidas no Edital e seus anexos;</w:t>
      </w:r>
    </w:p>
    <w:p>
      <w:pPr>
        <w:numPr>
          <w:ilvl w:val="1"/>
          <w:numId w:val="2"/>
        </w:numPr>
        <w:spacing w:before="120" w:after="120" w:line="276" w:lineRule="auto"/>
        <w:ind w:left="425" w:firstLine="0"/>
        <w:jc w:val="both"/>
        <w:rPr>
          <w:rFonts w:cs="Times New Roman"/>
          <w:color w:val="000000"/>
          <w:szCs w:val="20"/>
          <w:highlight w:val="none"/>
        </w:rPr>
      </w:pPr>
      <w:r>
        <w:rPr>
          <w:rFonts w:cs="Times New Roman"/>
          <w:color w:val="000000"/>
          <w:szCs w:val="20"/>
          <w:highlight w:val="none"/>
        </w:rPr>
        <w:t xml:space="preserve">Efetuar as retenções tributárias devidas sobre o valor da fatura de serviços da contratada, no que couber, em conformidade com o item 6 do Anexo XI da IN SEGES/MP n. 5/2017. </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Não praticar atos de ingerência na administração da Contratada, tais como:</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direcionar a contratação de pessoas para trabalhar nas empresas Contratadas;</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promover ou aceitar o desvio de funções dos trabalhadores da Contratada, mediante a utilização destes em atividades distintas daquelas previstas no objeto da contratação e em relação à função específica para a qual o trabalhador foi contratado; e</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considerar os trabalhadores da Contratada como colaboradores eventuais do próprio órgão ou entidade responsável pela contratação, especialmente para efeito de concessão de diárias e passagens.</w:t>
      </w:r>
    </w:p>
    <w:p>
      <w:pPr>
        <w:pStyle w:val="16"/>
        <w:numPr>
          <w:ilvl w:val="1"/>
          <w:numId w:val="2"/>
        </w:numPr>
        <w:spacing w:before="120" w:after="120" w:line="276" w:lineRule="auto"/>
        <w:contextualSpacing w:val="0"/>
        <w:jc w:val="both"/>
        <w:rPr>
          <w:rFonts w:cs="Arial"/>
          <w:color w:val="000000"/>
          <w:szCs w:val="20"/>
        </w:rPr>
      </w:pPr>
      <w:r>
        <w:rPr>
          <w:rFonts w:cs="Arial"/>
          <w:color w:val="000000"/>
          <w:szCs w:val="20"/>
        </w:rPr>
        <w:t xml:space="preserve">  fiscalizar  mensalmente, por amostragem, o cumprimento das obrigações trabalhistas, previdenciárias e para com o FGTS, especialmente: </w:t>
      </w:r>
    </w:p>
    <w:p>
      <w:pPr>
        <w:pStyle w:val="16"/>
        <w:numPr>
          <w:ilvl w:val="2"/>
          <w:numId w:val="2"/>
        </w:numPr>
        <w:spacing w:before="120" w:after="120" w:line="276" w:lineRule="auto"/>
        <w:ind w:left="1134" w:firstLine="0"/>
        <w:contextualSpacing w:val="0"/>
        <w:jc w:val="both"/>
        <w:rPr>
          <w:rFonts w:cs="Arial"/>
          <w:color w:val="000000"/>
          <w:szCs w:val="20"/>
        </w:rPr>
      </w:pPr>
      <w:r>
        <w:rPr>
          <w:rFonts w:cs="Arial"/>
          <w:color w:val="000000"/>
          <w:szCs w:val="20"/>
        </w:rPr>
        <w:t>A concessão de férias remuneradas e o pagamento do respectivo adicional, bem como de auxílio-transporte, auxílio-alimentação e auxílio-saúde, quando for devido;</w:t>
      </w:r>
    </w:p>
    <w:p>
      <w:pPr>
        <w:pStyle w:val="16"/>
        <w:numPr>
          <w:ilvl w:val="2"/>
          <w:numId w:val="2"/>
        </w:numPr>
        <w:spacing w:before="120" w:after="120" w:line="276" w:lineRule="auto"/>
        <w:ind w:left="1134" w:firstLine="0"/>
        <w:contextualSpacing w:val="0"/>
        <w:jc w:val="both"/>
        <w:rPr>
          <w:rFonts w:cs="Arial"/>
          <w:color w:val="000000"/>
          <w:szCs w:val="20"/>
        </w:rPr>
      </w:pPr>
      <w:r>
        <w:rPr>
          <w:rFonts w:cs="Arial"/>
          <w:color w:val="000000"/>
          <w:szCs w:val="20"/>
        </w:rPr>
        <w:t xml:space="preserve">O recolhimento das contribuições previdenciárias e do FGTS dos empregados que efetivamente participem da execução dos serviços contratados, a fim de verificar qualquer irregularidade; </w:t>
      </w:r>
    </w:p>
    <w:p>
      <w:pPr>
        <w:pStyle w:val="16"/>
        <w:numPr>
          <w:ilvl w:val="2"/>
          <w:numId w:val="2"/>
        </w:numPr>
        <w:spacing w:before="120" w:after="120" w:line="276" w:lineRule="auto"/>
        <w:ind w:left="1134" w:firstLine="0"/>
        <w:contextualSpacing w:val="0"/>
        <w:jc w:val="both"/>
        <w:rPr>
          <w:rFonts w:cs="Arial"/>
          <w:color w:val="000000"/>
          <w:szCs w:val="20"/>
        </w:rPr>
      </w:pPr>
      <w:r>
        <w:rPr>
          <w:rFonts w:cs="Arial"/>
          <w:color w:val="000000"/>
          <w:szCs w:val="20"/>
        </w:rPr>
        <w:t xml:space="preserve">O pagamento de obrigações trabalhistas e previdenciárias dos empregados dispensados até a data da extinção do contrato. </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Analisar  os termos de rescisão dos contratos de trabalho do pessoal empregado na prestação dos serviços no prazo de 30 (trinta) dias, prorrogável por igual período, após a extinção ou rescisão do contrato. </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A Administração realizará pesquisa de preços periodicamente, em prazo não superior a 180 (cento e oitenta) dias, a fim de verificar a vantajosidade dos preços registrados em Ata.</w:t>
      </w:r>
    </w:p>
    <w:p>
      <w:pPr>
        <w:pStyle w:val="31"/>
      </w:pPr>
      <w:r>
        <w:t>OBRIGAÇÕES DA CONTRATADA</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Manter o empregado nos horários predeterminados pela Administração;</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Utilizar empregados habilitados e com conhecimentos básicos dos serviços a serem executados, em conformidade com as normas e determinações em vigor;</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Vedar a utilização, na execução dos serviços, de empregado que seja familiar de agente público ocupante de cargo em comissão ou função de confiança no órgão Contratante, nos termos do artigo 7° do Decreto n° 7.203, de 2010;  </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Disponibilizar à Contratante os empregados devidamente uniformizados e identificados por meio de crachá, além de provê-los com os Equipamentos de Proteção Individual - EPI, quando for o caso;</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Fornecer os uniformes a serem utilizados por seus empregados, conforme disposto neste Termo de Referência, sem repassar quaisquer custos a estes;</w:t>
      </w:r>
    </w:p>
    <w:p>
      <w:pPr>
        <w:numPr>
          <w:ilvl w:val="1"/>
          <w:numId w:val="2"/>
        </w:numPr>
        <w:spacing w:before="120" w:after="120" w:line="276" w:lineRule="auto"/>
        <w:ind w:left="425" w:firstLine="0"/>
        <w:jc w:val="both"/>
        <w:rPr>
          <w:rFonts w:cs="Times New Roman"/>
          <w:color w:val="000000"/>
          <w:szCs w:val="20"/>
          <w:highlight w:val="none"/>
        </w:rPr>
      </w:pPr>
      <w:r>
        <w:rPr>
          <w:rFonts w:cs="Times New Roman"/>
          <w:color w:val="000000"/>
          <w:szCs w:val="20"/>
          <w:highlight w:val="none"/>
        </w:rPr>
        <w:t>As empresas contratadas que sejam regidas pela Consolidação das Leis do Trabalho (CLT) deverão apresentar a seguinte documentação no primeiro mês de prestação dos serviços, conforme alínea “g” do item 10.1 do Anexo VIII-B da IN SEGES/MP n. 5/2017:</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Carteira de Trabalho e Previdência Social (CTPS) dos empregados admitidos e dos responsáveis técnicos pela execução dos serviços, quando for o caso, devidamente assinada pela contratada; e</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exames médicos admissionais dos empregados da contratada que prestarão os serviços;</w:t>
      </w:r>
    </w:p>
    <w:p>
      <w:pPr>
        <w:numPr>
          <w:ilvl w:val="2"/>
          <w:numId w:val="2"/>
        </w:numPr>
        <w:spacing w:before="120" w:after="120" w:line="276" w:lineRule="auto"/>
        <w:ind w:left="1134" w:firstLine="0"/>
        <w:jc w:val="both"/>
        <w:rPr>
          <w:rFonts w:cs="Times New Roman"/>
          <w:color w:val="000000"/>
          <w:szCs w:val="20"/>
          <w:highlight w:val="none"/>
        </w:rPr>
      </w:pPr>
      <w:r>
        <w:rPr>
          <w:rFonts w:cs="Times New Roman"/>
          <w:color w:val="000000"/>
          <w:szCs w:val="20"/>
          <w:highlight w:val="none"/>
        </w:rPr>
        <w:t xml:space="preserve">declaração de responsabilidade exclusiva da contratada sobre a quitação dos encargos trabalhistas e sociais decorrentes do contrato; </w:t>
      </w:r>
    </w:p>
    <w:p>
      <w:pPr>
        <w:numPr>
          <w:ilvl w:val="2"/>
          <w:numId w:val="2"/>
        </w:numPr>
        <w:spacing w:before="120" w:after="120" w:line="276" w:lineRule="auto"/>
        <w:ind w:left="1134" w:firstLine="0"/>
        <w:jc w:val="both"/>
        <w:rPr>
          <w:rFonts w:cs="Times New Roman"/>
          <w:color w:val="000000"/>
          <w:szCs w:val="20"/>
          <w:highlight w:val="none"/>
        </w:rPr>
      </w:pPr>
      <w:r>
        <w:rPr>
          <w:rFonts w:cs="Times New Roman"/>
          <w:color w:val="000000"/>
          <w:szCs w:val="2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pPr>
        <w:numPr>
          <w:ilvl w:val="1"/>
          <w:numId w:val="2"/>
        </w:numPr>
        <w:spacing w:before="120" w:after="120" w:line="276" w:lineRule="auto"/>
        <w:ind w:left="425" w:firstLine="0"/>
        <w:jc w:val="both"/>
        <w:rPr>
          <w:rFonts w:cs="Times New Roman"/>
          <w:color w:val="000000"/>
          <w:szCs w:val="20"/>
          <w:highlight w:val="none"/>
        </w:rPr>
      </w:pPr>
      <w:r>
        <w:rPr>
          <w:rFonts w:cs="Times New Roman"/>
          <w:color w:val="000000"/>
          <w:szCs w:val="20"/>
          <w:highlight w:val="none"/>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SEGES/MP n. 5/2017;</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Substituir, no prazo de </w:t>
      </w:r>
      <w:r>
        <w:rPr>
          <w:rFonts w:cs="Times New Roman"/>
          <w:b/>
          <w:bCs/>
          <w:i/>
          <w:color w:val="auto"/>
          <w:szCs w:val="20"/>
          <w:lang w:val="pt-BR"/>
        </w:rPr>
        <w:t xml:space="preserve">3 (três) </w:t>
      </w:r>
      <w:r>
        <w:rPr>
          <w:rFonts w:cs="Times New Roman"/>
          <w:b/>
          <w:bCs/>
          <w:i/>
          <w:color w:val="auto"/>
          <w:szCs w:val="20"/>
        </w:rPr>
        <w:t>horas</w:t>
      </w:r>
      <w:r>
        <w:rPr>
          <w:rFonts w:cs="Times New Roman"/>
          <w:color w:val="auto"/>
          <w:szCs w:val="20"/>
        </w:rPr>
        <w:t>,</w:t>
      </w:r>
      <w:r>
        <w:rPr>
          <w:rFonts w:cs="Times New Roman"/>
          <w:color w:val="000000"/>
          <w:szCs w:val="20"/>
        </w:rPr>
        <w:t xml:space="preserve"> em caso de eventual ausência, tais como, faltas e licenças, o empregado posto a serviço da Contratante, devendo identificar previamente o respectivo substituto ao Fiscal do Contrato;</w:t>
      </w:r>
    </w:p>
    <w:p>
      <w:pPr>
        <w:numPr>
          <w:ilvl w:val="1"/>
          <w:numId w:val="2"/>
        </w:numPr>
        <w:spacing w:before="120" w:after="120" w:line="276" w:lineRule="auto"/>
        <w:jc w:val="both"/>
        <w:rPr>
          <w:rFonts w:cs="Arial"/>
          <w:color w:val="000000"/>
          <w:szCs w:val="20"/>
        </w:rPr>
      </w:pPr>
      <w:r>
        <w:rPr>
          <w:rFonts w:cs="Arial"/>
          <w:color w:val="000000"/>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pPr>
        <w:numPr>
          <w:ilvl w:val="2"/>
          <w:numId w:val="2"/>
        </w:numPr>
        <w:spacing w:before="120" w:after="120" w:line="276" w:lineRule="auto"/>
        <w:ind w:left="1134" w:firstLine="0"/>
        <w:jc w:val="both"/>
        <w:rPr>
          <w:rFonts w:cs="Arial"/>
          <w:color w:val="000000"/>
          <w:szCs w:val="20"/>
        </w:rPr>
      </w:pPr>
      <w:r>
        <w:rPr>
          <w:rFonts w:cs="Arial"/>
          <w:color w:val="000000"/>
          <w:szCs w:val="20"/>
        </w:rPr>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pPr>
        <w:spacing w:before="120" w:after="120" w:line="276" w:lineRule="auto"/>
        <w:ind w:left="425"/>
        <w:jc w:val="both"/>
        <w:rPr>
          <w:rFonts w:cs="Times New Roman"/>
          <w:color w:val="000000"/>
          <w:szCs w:val="20"/>
        </w:rPr>
      </w:pP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pPr>
        <w:numPr>
          <w:ilvl w:val="1"/>
          <w:numId w:val="2"/>
        </w:numPr>
        <w:spacing w:before="120" w:after="120" w:line="276" w:lineRule="auto"/>
        <w:ind w:left="425" w:firstLine="0"/>
        <w:jc w:val="both"/>
        <w:rPr>
          <w:rFonts w:cs="Times New Roman"/>
          <w:color w:val="000000"/>
          <w:szCs w:val="20"/>
        </w:rPr>
      </w:pPr>
      <w:r>
        <w:rPr>
          <w:b/>
        </w:rPr>
        <w:t>Nota explicativa</w:t>
      </w:r>
      <w:r>
        <w:t>: Excepcionalmente, em determinadas contratações, podem ser exigidos os atestados de antecedentes criminais ou outros que forem pertinentes apenas quando  imprescindível à segurança de pessoas, bens, informações ou instalações, de forma motivada.</w:t>
      </w:r>
      <w:r>
        <w:rPr>
          <w:rFonts w:cs="Times New Roman"/>
          <w:color w:val="000000"/>
          <w:szCs w:val="20"/>
        </w:rPr>
        <w:t>Não permitir que o empregado designado para trabalhar em um turno preste seus serviços no turno imediatamente subsequente;</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Instruir seus empregados quanto à necessidade de acatar as Normas Internas da Administração;</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viabilizar a emissão do cartão cidadão pela Caixa Econômica Federal para todos os empregados, no prazo máximo de 60 (sessenta) dias, contados do início da prestação dos serviços ou da admissão do empregado;</w:t>
      </w:r>
    </w:p>
    <w:p>
      <w:pPr>
        <w:numPr>
          <w:ilvl w:val="2"/>
          <w:numId w:val="2"/>
        </w:numPr>
        <w:spacing w:before="120" w:after="120" w:line="276" w:lineRule="auto"/>
        <w:ind w:left="1134" w:firstLine="0"/>
        <w:jc w:val="both"/>
        <w:rPr>
          <w:rFonts w:cs="Times New Roman"/>
          <w:color w:val="000000"/>
          <w:szCs w:val="20"/>
        </w:rPr>
      </w:pPr>
      <w:r>
        <w:rPr>
          <w:rFonts w:cs="Times New Roman"/>
          <w:color w:val="000000"/>
          <w:szCs w:val="20"/>
        </w:rPr>
        <w:t xml:space="preserve"> oferecer todos os meios necessários aos seus empregados para a obtenção de extratos de recolhimentos de seus direitos sociais, preferencialmente por meio eletrônico, quando disponível.</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Manter preposto nos locais de prestação de serviço, aceito pela Administração, para representá-la na execução do contrato;</w:t>
      </w:r>
    </w:p>
    <w:p>
      <w:pPr>
        <w:numPr>
          <w:ilvl w:val="1"/>
          <w:numId w:val="2"/>
        </w:numPr>
        <w:spacing w:before="120" w:after="120" w:line="276" w:lineRule="auto"/>
        <w:ind w:left="425" w:firstLine="0"/>
        <w:jc w:val="both"/>
        <w:rPr>
          <w:rFonts w:cs="Times New Roman"/>
          <w:color w:val="000000"/>
          <w:szCs w:val="20"/>
        </w:rPr>
      </w:pPr>
      <w:r>
        <w:rPr>
          <w:rFonts w:cs="Times New Roman"/>
          <w:color w:val="000000"/>
          <w:szCs w:val="20"/>
        </w:rPr>
        <w:t>Relatar à Contratante toda e qualquer irregularidade verificada no decorrer da prestação dos serviços;</w:t>
      </w:r>
    </w:p>
    <w:p>
      <w:pPr>
        <w:numPr>
          <w:ilvl w:val="1"/>
          <w:numId w:val="2"/>
        </w:numPr>
        <w:spacing w:before="120" w:after="120" w:line="276" w:lineRule="auto"/>
        <w:ind w:left="425" w:firstLine="0"/>
        <w:jc w:val="both"/>
        <w:rPr>
          <w:rFonts w:cs="Arial"/>
          <w:color w:val="000000"/>
          <w:szCs w:val="20"/>
        </w:rPr>
      </w:pPr>
      <w:r>
        <w:rPr>
          <w:rFonts w:cs="Arial"/>
          <w:color w:val="000000"/>
          <w:szCs w:val="20"/>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pPr>
        <w:numPr>
          <w:ilvl w:val="2"/>
          <w:numId w:val="2"/>
        </w:numPr>
        <w:spacing w:before="120" w:after="120" w:line="276" w:lineRule="auto"/>
        <w:ind w:left="1134" w:firstLine="0"/>
        <w:jc w:val="both"/>
        <w:rPr>
          <w:rFonts w:cs="Arial"/>
          <w:color w:val="000000"/>
          <w:szCs w:val="20"/>
        </w:rPr>
      </w:pPr>
      <w:r>
        <w:rPr>
          <w:rFonts w:cs="Arial"/>
          <w:color w:val="000000"/>
          <w:szCs w:val="2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pPr>
        <w:numPr>
          <w:ilvl w:val="2"/>
          <w:numId w:val="2"/>
        </w:numPr>
        <w:spacing w:before="120" w:after="120" w:line="276" w:lineRule="auto"/>
        <w:ind w:left="1134" w:firstLine="0"/>
        <w:jc w:val="both"/>
        <w:rPr>
          <w:rFonts w:cs="Arial"/>
          <w:color w:val="000000"/>
          <w:szCs w:val="20"/>
        </w:rPr>
      </w:pPr>
      <w:r>
        <w:rPr>
          <w:rFonts w:cs="Arial"/>
          <w:color w:val="000000"/>
          <w:szCs w:val="20"/>
        </w:rPr>
        <w:t>Ultrapassado o prazo de 15 (quinze) dias, contados na comunicação mencionada no Item anterior, sem a regularização da falta, a Administração poderá efetuar o pagamento das obrigações diretamente aos empregados da contratada que tenham participado da execução dos serviços objeto do contrato, sem prejuízo das demais sanções cabíveis.</w:t>
      </w:r>
    </w:p>
    <w:p>
      <w:pPr>
        <w:numPr>
          <w:ilvl w:val="3"/>
          <w:numId w:val="2"/>
        </w:numPr>
        <w:spacing w:before="120" w:after="120" w:line="276" w:lineRule="auto"/>
        <w:ind w:left="1554" w:leftChars="0" w:firstLine="0"/>
        <w:jc w:val="both"/>
        <w:rPr>
          <w:rFonts w:cs="Arial"/>
          <w:color w:val="000000"/>
          <w:szCs w:val="20"/>
        </w:rPr>
      </w:pPr>
      <w:r>
        <w:rPr>
          <w:rFonts w:cs="Arial"/>
          <w:color w:val="000000"/>
          <w:szCs w:val="20"/>
        </w:rPr>
        <w:t xml:space="preserve"> O sindicato representante da categoria do trabalhador deverá ser notificado pela contratante para acompanhar o pagamento das respectivas verbas.</w:t>
      </w:r>
    </w:p>
    <w:p>
      <w:pPr>
        <w:numPr>
          <w:ilvl w:val="2"/>
          <w:numId w:val="2"/>
        </w:numPr>
        <w:spacing w:before="120" w:after="120" w:line="276" w:lineRule="auto"/>
        <w:ind w:left="1134" w:leftChars="0" w:firstLine="0"/>
        <w:jc w:val="both"/>
        <w:rPr>
          <w:rFonts w:cs="Times New Roman"/>
          <w:color w:val="000000"/>
          <w:szCs w:val="20"/>
        </w:rPr>
      </w:pPr>
      <w:r>
        <w:rPr>
          <w:rFonts w:cs="Times New Roman"/>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pPr>
        <w:pStyle w:val="31"/>
        <w:numPr>
          <w:ilvl w:val="1"/>
          <w:numId w:val="2"/>
        </w:numPr>
        <w:ind w:left="400" w:leftChars="0" w:firstLine="0" w:firstLineChars="0"/>
        <w:rPr>
          <w:b w:val="0"/>
          <w:bCs/>
        </w:rPr>
      </w:pPr>
      <w:r>
        <w:rPr>
          <w:b w:val="0"/>
          <w:bCs/>
        </w:rPr>
        <w:t>Manter durante toda a vigência do contrato, em compatibilidade com as obrigações assumidas, todas as condições de habilitação e qualificação exigidas na licitação</w:t>
      </w:r>
      <w:r>
        <w:rPr>
          <w:b w:val="0"/>
          <w:bCs/>
          <w:lang w:val="pt-BR"/>
        </w:rPr>
        <w:t>;</w:t>
      </w:r>
    </w:p>
    <w:p>
      <w:pPr>
        <w:numPr>
          <w:ilvl w:val="1"/>
          <w:numId w:val="2"/>
        </w:numPr>
        <w:spacing w:before="120" w:after="120" w:line="276" w:lineRule="auto"/>
        <w:ind w:left="400" w:leftChars="0" w:firstLine="0" w:firstLineChars="0"/>
        <w:jc w:val="both"/>
        <w:rPr>
          <w:rFonts w:cs="Times New Roman"/>
          <w:color w:val="000000"/>
          <w:szCs w:val="20"/>
        </w:rPr>
      </w:pPr>
      <w:r>
        <w:rPr>
          <w:b w:val="0"/>
          <w:bCs/>
          <w:color w:val="000000"/>
          <w:szCs w:val="20"/>
        </w:rPr>
        <w:t>Guardar sigilo sobre todas as informações obtidas em decorrência do cumprimento do contrato;</w:t>
      </w:r>
    </w:p>
    <w:p>
      <w:pPr>
        <w:numPr>
          <w:ilvl w:val="1"/>
          <w:numId w:val="2"/>
        </w:numPr>
        <w:spacing w:before="120" w:after="120" w:line="276" w:lineRule="auto"/>
        <w:ind w:left="400" w:leftChars="0" w:firstLine="0" w:firstLineChars="0"/>
        <w:jc w:val="both"/>
        <w:rPr>
          <w:rFonts w:cs="Times New Roman"/>
          <w:color w:val="000000"/>
          <w:szCs w:val="20"/>
        </w:rPr>
      </w:pPr>
      <w:r>
        <w:rPr>
          <w:rFonts w:cs="Times New Roman"/>
          <w:color w:val="000000"/>
          <w:szCs w:val="20"/>
        </w:rPr>
        <w:t xml:space="preserve">Não beneficiar-se da condição de optante pelo Simples Nacional, </w:t>
      </w:r>
      <w:r>
        <w:rPr>
          <w:rFonts w:cs="Times New Roman"/>
          <w:szCs w:val="20"/>
          <w:lang w:eastAsia="en-US"/>
        </w:rPr>
        <w:t>salvo as exceções previstas no § 5º-C do art. 18 da Lei Complementar no 123, de 14 de dezembro de 2006;</w:t>
      </w:r>
    </w:p>
    <w:p>
      <w:pPr>
        <w:pStyle w:val="31"/>
        <w:numPr>
          <w:ilvl w:val="1"/>
          <w:numId w:val="2"/>
        </w:numPr>
        <w:ind w:left="400" w:leftChars="0" w:firstLine="0" w:firstLineChars="0"/>
        <w:rPr>
          <w:rFonts w:cs="Times New Roman"/>
          <w:b w:val="0"/>
          <w:bCs/>
          <w:color w:val="000000"/>
          <w:szCs w:val="20"/>
        </w:rPr>
      </w:pPr>
      <w:r>
        <w:rPr>
          <w:rFonts w:cs="Times New Roman"/>
          <w:b w:val="0"/>
          <w:bCs/>
          <w:color w:val="000000"/>
          <w:szCs w:val="20"/>
        </w:rPr>
        <w:t xml:space="preserve">Comunicar formalmente à Receita Federal a assinatura do contrato de prestação de serviços mediante cessão de mão de obra, </w:t>
      </w:r>
      <w:r>
        <w:rPr>
          <w:rFonts w:cs="Times New Roman"/>
          <w:b w:val="0"/>
          <w:bCs/>
          <w:szCs w:val="20"/>
          <w:lang w:eastAsia="en-US"/>
        </w:rPr>
        <w:t xml:space="preserve">salvo as exceções previstas no § 5º-C do art. 18 da Lei Complementar n. 123, de 14 de dezembro de 2006, </w:t>
      </w:r>
      <w:r>
        <w:rPr>
          <w:rFonts w:cs="Times New Roman"/>
          <w:b w:val="0"/>
          <w:bCs/>
          <w:color w:val="000000"/>
          <w:szCs w:val="20"/>
        </w:rPr>
        <w:t>para fins de exclusão obrigatória do Simples Nacional a contar do mês seguinte ao da contratação, conforme previsão do art.17, XII, art.30, §1º, II e do art. 31, II, todos da LC 123, de 2006;</w:t>
      </w:r>
    </w:p>
    <w:p>
      <w:pPr>
        <w:numPr>
          <w:ilvl w:val="2"/>
          <w:numId w:val="2"/>
        </w:numPr>
        <w:spacing w:before="120" w:after="120" w:line="276" w:lineRule="auto"/>
        <w:ind w:left="820" w:leftChars="0" w:firstLine="0" w:firstLineChars="0"/>
        <w:jc w:val="both"/>
        <w:rPr>
          <w:rFonts w:cs="Times New Roman"/>
          <w:color w:val="000000"/>
          <w:szCs w:val="20"/>
        </w:rPr>
      </w:pPr>
      <w:r>
        <w:rPr>
          <w:rFonts w:cs="Times New Roman"/>
          <w:color w:val="000000"/>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pPr>
        <w:numPr>
          <w:ilvl w:val="1"/>
          <w:numId w:val="2"/>
        </w:numPr>
        <w:spacing w:before="120" w:after="120" w:line="276" w:lineRule="auto"/>
        <w:ind w:left="400" w:leftChars="0" w:firstLine="0" w:firstLineChars="0"/>
        <w:jc w:val="both"/>
        <w:rPr>
          <w:rFonts w:cs="Times New Roman"/>
          <w:color w:val="000000"/>
          <w:szCs w:val="20"/>
        </w:rPr>
      </w:pPr>
      <w:r>
        <w:rPr>
          <w:rFonts w:cs="Times New Roman"/>
          <w:color w:val="00000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pPr>
        <w:numPr>
          <w:ilvl w:val="1"/>
          <w:numId w:val="2"/>
        </w:numPr>
        <w:spacing w:before="120" w:after="120" w:line="276" w:lineRule="auto"/>
        <w:ind w:left="400" w:leftChars="0" w:firstLine="0" w:firstLineChars="0"/>
        <w:jc w:val="both"/>
        <w:rPr>
          <w:rFonts w:cs="Times New Roman"/>
          <w:color w:val="000000"/>
          <w:szCs w:val="20"/>
        </w:rPr>
      </w:pPr>
      <w:r>
        <w:t>DAS AÇÕES DE RESPONSABILIDADE E PRÁTICAS AMBIENTAIS</w:t>
      </w:r>
    </w:p>
    <w:p>
      <w:pPr>
        <w:pStyle w:val="31"/>
        <w:keepNext w:val="0"/>
        <w:keepLines w:val="0"/>
        <w:numPr>
          <w:ilvl w:val="2"/>
          <w:numId w:val="2"/>
        </w:numPr>
        <w:spacing w:before="120"/>
        <w:ind w:left="425" w:firstLine="0"/>
        <w:rPr>
          <w:b w:val="0"/>
        </w:rPr>
      </w:pPr>
      <w:r>
        <w:rPr>
          <w:b w:val="0"/>
        </w:rPr>
        <w:t>Os serviços prestados pela empresa contratada deverão pautar-se sempre no uso racional de recursos e equipamentos, de forma a evitar e prevenir o desperdício de insumos e material consumidos, bem como a geração excessiva de resíduos, a fim de atender às diretrizes de responsabilidade ambiental adotadas pelo órgão.</w:t>
      </w:r>
    </w:p>
    <w:p>
      <w:pPr>
        <w:pStyle w:val="31"/>
        <w:keepNext w:val="0"/>
        <w:keepLines w:val="0"/>
        <w:numPr>
          <w:ilvl w:val="2"/>
          <w:numId w:val="2"/>
        </w:numPr>
        <w:spacing w:before="120"/>
        <w:ind w:left="851" w:firstLine="0"/>
        <w:rPr>
          <w:b w:val="0"/>
        </w:rPr>
      </w:pPr>
      <w:r>
        <w:rPr>
          <w:b w:val="0"/>
        </w:rPr>
        <w:t>O material empregado pela empresa contratada deverá atender à melhor relação entre custos e benefícios, considerando-se os impactos ambientais, positivos e negativos, associados ao produto, cabendo, ainda e conforme seja o caso, a adoção das boas práticas de otimização de recursos, redução de desperdícios, menor poluição, conforme critérios de sustentabilidade ambiental estabelecidos Decreto nº 7.746, de 05/06/2012, e na Instrução Normativa SLTI/MP nº 1/10, que dispõe sobre os critérios de sustentabilidade ambiental na aquisição de bens, contratação de serviços ou obras pela Administração Pública Federal.</w:t>
      </w:r>
    </w:p>
    <w:p>
      <w:pPr>
        <w:pStyle w:val="31"/>
        <w:keepNext w:val="0"/>
        <w:keepLines w:val="0"/>
        <w:numPr>
          <w:ilvl w:val="2"/>
          <w:numId w:val="2"/>
        </w:numPr>
        <w:spacing w:before="120"/>
        <w:ind w:left="851" w:firstLine="0"/>
        <w:rPr>
          <w:b w:val="0"/>
        </w:rPr>
      </w:pPr>
      <w:r>
        <w:rPr>
          <w:b w:val="0"/>
        </w:rPr>
        <w:t>Elaborar e manter um programa interno de treinamento de seus empregados para redução dos consumos de energia elétrica e de água e redução de produção de resíduos sólidos, observadas as normas ambientais vigentes.</w:t>
      </w:r>
    </w:p>
    <w:p>
      <w:pPr>
        <w:pStyle w:val="31"/>
        <w:keepNext w:val="0"/>
        <w:keepLines w:val="0"/>
        <w:numPr>
          <w:ilvl w:val="2"/>
          <w:numId w:val="2"/>
        </w:numPr>
        <w:spacing w:before="120"/>
        <w:ind w:left="851" w:firstLine="0"/>
        <w:rPr>
          <w:b w:val="0"/>
        </w:rPr>
      </w:pPr>
      <w:r>
        <w:rPr>
          <w:b w:val="0"/>
        </w:rPr>
        <w:t>A contratada deverá fazer uso racional de água, adotando medidas para evitar o desperdício de água tratada e mantendo critérios especiais e privilegiados para aquisição e uso de equipamentos e complementos que promovam a redução do consumo.</w:t>
      </w:r>
    </w:p>
    <w:p>
      <w:pPr>
        <w:pStyle w:val="31"/>
        <w:keepNext w:val="0"/>
        <w:keepLines w:val="0"/>
        <w:numPr>
          <w:ilvl w:val="2"/>
          <w:numId w:val="2"/>
        </w:numPr>
        <w:spacing w:before="120"/>
        <w:ind w:left="851" w:firstLine="0"/>
        <w:rPr>
          <w:b w:val="0"/>
        </w:rPr>
      </w:pPr>
      <w:r>
        <w:rPr>
          <w:b w:val="0"/>
        </w:rPr>
        <w:t>O encarregado deve atuar como facilitador das mudanças de comportamento dos empregados da contratada.</w:t>
      </w:r>
    </w:p>
    <w:p>
      <w:pPr>
        <w:pStyle w:val="31"/>
        <w:keepNext w:val="0"/>
        <w:keepLines w:val="0"/>
        <w:numPr>
          <w:ilvl w:val="2"/>
          <w:numId w:val="2"/>
        </w:numPr>
        <w:spacing w:before="120"/>
        <w:ind w:left="851" w:firstLine="0"/>
        <w:rPr>
          <w:b w:val="0"/>
        </w:rPr>
      </w:pPr>
      <w:r>
        <w:rPr>
          <w:b w:val="0"/>
        </w:rPr>
        <w:t>A contratada deverá fazer uso racional de energia elétrica e manter critérios especiais e privilegiados para aquisição de produtos e equipamentos que apresentem eficiência energética e redução de consumo.</w:t>
      </w:r>
    </w:p>
    <w:p>
      <w:pPr>
        <w:pStyle w:val="31"/>
        <w:keepNext w:val="0"/>
        <w:keepLines w:val="0"/>
        <w:numPr>
          <w:ilvl w:val="2"/>
          <w:numId w:val="2"/>
        </w:numPr>
        <w:spacing w:before="120"/>
        <w:ind w:left="851" w:firstLine="0"/>
        <w:rPr>
          <w:b w:val="0"/>
        </w:rPr>
      </w:pPr>
      <w:r>
        <w:rPr>
          <w:b w:val="0"/>
        </w:rPr>
        <w:t>Respeitar as Normas Brasileiras - NBR publicadas pela Associação Brasileira de Normas Técnicas sobre resíduos sólidos.</w:t>
      </w:r>
    </w:p>
    <w:p>
      <w:pPr>
        <w:pStyle w:val="31"/>
        <w:keepNext w:val="0"/>
        <w:keepLines w:val="0"/>
        <w:numPr>
          <w:ilvl w:val="2"/>
          <w:numId w:val="2"/>
        </w:numPr>
        <w:spacing w:before="120"/>
        <w:ind w:left="851" w:firstLine="0"/>
        <w:rPr>
          <w:b w:val="0"/>
        </w:rPr>
      </w:pPr>
      <w:r>
        <w:rPr>
          <w:b w:val="0"/>
        </w:rPr>
        <w:t>Dar destinação ambiental adequada das pilhas e baterias usadas ou inservíveis, segundo disposto na Resolução CONAMA nº 257, de 30/06/1999.</w:t>
      </w:r>
    </w:p>
    <w:p>
      <w:pPr>
        <w:pStyle w:val="31"/>
        <w:keepNext w:val="0"/>
        <w:keepLines w:val="0"/>
        <w:numPr>
          <w:ilvl w:val="2"/>
          <w:numId w:val="2"/>
        </w:numPr>
        <w:spacing w:before="120"/>
        <w:ind w:left="851" w:firstLine="0"/>
        <w:rPr>
          <w:b w:val="0"/>
        </w:rPr>
      </w:pPr>
      <w:r>
        <w:rPr>
          <w:b w:val="0"/>
        </w:rPr>
        <w:t>Providenciar o recolhimento e o adequado descarte dos frascos de aerossol originários da contratação, recolhendo-os aos pontos de coleta ou centrais de armazenamento mantidos pelo respectivo fabricante;</w:t>
      </w:r>
    </w:p>
    <w:p>
      <w:pPr>
        <w:pStyle w:val="31"/>
        <w:keepNext w:val="0"/>
        <w:keepLines w:val="0"/>
        <w:numPr>
          <w:ilvl w:val="2"/>
          <w:numId w:val="2"/>
        </w:numPr>
        <w:spacing w:before="120"/>
        <w:ind w:left="851" w:firstLine="0"/>
        <w:rPr>
          <w:b w:val="0"/>
        </w:rPr>
      </w:pPr>
      <w:r>
        <w:rPr>
          <w:b w:val="0"/>
        </w:rPr>
        <w:t>Quando implantado pela CONTRATANTE Programa de Coleta Seletiva de Resíduos Sólidos, a contratada deverá colaborar de forma efetiva no desenvolvimento das atividades do programa interno de separação de resíduos sólidos, em recipientes para coleta seletiva nas cores internacionalmente identificadas, disponibilizados pela CONTRATANTE:</w:t>
      </w:r>
    </w:p>
    <w:p>
      <w:pPr>
        <w:pStyle w:val="31"/>
        <w:keepNext w:val="0"/>
        <w:keepLines w:val="0"/>
        <w:numPr>
          <w:ilvl w:val="2"/>
          <w:numId w:val="2"/>
        </w:numPr>
        <w:spacing w:before="120"/>
        <w:ind w:left="851" w:firstLine="0"/>
        <w:rPr>
          <w:b w:val="0"/>
        </w:rPr>
      </w:pPr>
      <w:r>
        <w:rPr>
          <w:b w:val="0"/>
        </w:rPr>
        <w:t xml:space="preserve">Acondicionar em local adequado os resíduos recicláveis que serão encaminhados pela administração à cooperativa/associação de catadores de lixo; </w:t>
      </w:r>
    </w:p>
    <w:p>
      <w:pPr>
        <w:pStyle w:val="31"/>
        <w:keepNext w:val="0"/>
        <w:keepLines w:val="0"/>
        <w:numPr>
          <w:ilvl w:val="2"/>
          <w:numId w:val="2"/>
        </w:numPr>
        <w:spacing w:before="120"/>
        <w:ind w:left="851" w:firstLine="0"/>
        <w:rPr>
          <w:b w:val="0"/>
        </w:rPr>
      </w:pPr>
      <w:r>
        <w:rPr>
          <w:b w:val="0"/>
        </w:rPr>
        <w:t>Retirar e acondicionar em saco plástico os resíduos sólidos recicláveis descartados pela contratante, armazenando-os em local apropriado por ela determinado;</w:t>
      </w:r>
    </w:p>
    <w:p>
      <w:pPr>
        <w:pStyle w:val="31"/>
        <w:keepNext w:val="0"/>
        <w:keepLines w:val="0"/>
        <w:numPr>
          <w:ilvl w:val="2"/>
          <w:numId w:val="2"/>
        </w:numPr>
        <w:autoSpaceDE w:val="0"/>
        <w:autoSpaceDN w:val="0"/>
        <w:adjustRightInd w:val="0"/>
        <w:spacing w:before="120"/>
        <w:ind w:left="851" w:firstLine="0"/>
        <w:rPr>
          <w:b w:val="0"/>
          <w:bCs/>
        </w:rPr>
      </w:pPr>
      <w:r>
        <w:rPr>
          <w:b w:val="0"/>
        </w:rPr>
        <w:t xml:space="preserve">Não acondicionar conjuntamente no mesmo saco plástico os resíduos recicláveis e </w:t>
      </w:r>
      <w:r>
        <w:rPr>
          <w:b w:val="0"/>
          <w:bCs/>
        </w:rPr>
        <w:t>os não recicláveis.</w:t>
      </w:r>
    </w:p>
    <w:p>
      <w:pPr>
        <w:pStyle w:val="31"/>
        <w:keepNext w:val="0"/>
        <w:keepLines w:val="0"/>
        <w:numPr>
          <w:ilvl w:val="2"/>
          <w:numId w:val="2"/>
        </w:numPr>
        <w:spacing w:before="120"/>
        <w:ind w:left="851" w:firstLine="0"/>
        <w:rPr>
          <w:b w:val="0"/>
        </w:rPr>
      </w:pPr>
      <w:r>
        <w:rPr>
          <w:b w:val="0"/>
        </w:rPr>
        <w:t>A contratada obriga-se a efetuar treinamento de seus empregados acerca da separação adequada de resíduos recicláveis.</w:t>
      </w:r>
    </w:p>
    <w:p>
      <w:pPr>
        <w:pStyle w:val="31"/>
        <w:keepNext w:val="0"/>
        <w:keepLines w:val="0"/>
        <w:numPr>
          <w:ilvl w:val="2"/>
          <w:numId w:val="2"/>
        </w:numPr>
        <w:spacing w:before="120"/>
        <w:ind w:left="851" w:firstLine="0"/>
        <w:rPr>
          <w:b w:val="0"/>
        </w:rPr>
      </w:pPr>
      <w:r>
        <w:rPr>
          <w:b w:val="0"/>
        </w:rPr>
        <w:t>No que diz respeito à utilização de saneantes domissanitários a contratada deverá:</w:t>
      </w:r>
    </w:p>
    <w:p>
      <w:pPr>
        <w:pStyle w:val="31"/>
        <w:keepNext w:val="0"/>
        <w:keepLines w:val="0"/>
        <w:numPr>
          <w:ilvl w:val="3"/>
          <w:numId w:val="2"/>
        </w:numPr>
        <w:spacing w:before="120"/>
        <w:ind w:left="1134" w:firstLine="0"/>
        <w:rPr>
          <w:b w:val="0"/>
        </w:rPr>
      </w:pPr>
      <w:r>
        <w:rPr>
          <w:b w:val="0"/>
        </w:rPr>
        <w:t>Utilizar racionalmente os saneantes domissanitários, cuja aplicação nos serviços deverá observar regra basilar de menor toxidade, livre de corantes e redução drástica de hipoclorito de sódio;</w:t>
      </w:r>
    </w:p>
    <w:p>
      <w:pPr>
        <w:pStyle w:val="31"/>
        <w:keepNext w:val="0"/>
        <w:keepLines w:val="0"/>
        <w:numPr>
          <w:ilvl w:val="3"/>
          <w:numId w:val="2"/>
        </w:numPr>
        <w:spacing w:before="120"/>
        <w:ind w:left="1134" w:firstLine="0"/>
        <w:rPr>
          <w:b w:val="0"/>
        </w:rPr>
      </w:pPr>
      <w:r>
        <w:rPr>
          <w:b w:val="0"/>
        </w:rPr>
        <w:t>Manter critérios de qualificação de fornecedores levando em consideração as ações ambientais por estes realizadas;</w:t>
      </w:r>
    </w:p>
    <w:p>
      <w:pPr>
        <w:pStyle w:val="31"/>
        <w:keepNext w:val="0"/>
        <w:keepLines w:val="0"/>
        <w:numPr>
          <w:ilvl w:val="3"/>
          <w:numId w:val="2"/>
        </w:numPr>
        <w:spacing w:before="120"/>
        <w:ind w:left="1134" w:firstLine="0"/>
        <w:rPr>
          <w:b w:val="0"/>
        </w:rPr>
      </w:pPr>
      <w:r>
        <w:rPr>
          <w:b w:val="0"/>
        </w:rPr>
        <w:t xml:space="preserve">Observar, rigorosamente, quando da aplicação ou manipulação de detergentes e seus congêneres, o atendimento as prescrições da Lei nº 6.360 de 23 de setembro de 1976, do Decreto 79.094 de 05 de janeiro de 1977 e as prescrições da Resolução Normativa nº 1, de 25 de outubro de 1978, cujos itens de controle e fiscalização por parte das autoridades sanitárias e da CONTRATANTE são os Anexos da referida Resolução; </w:t>
      </w:r>
    </w:p>
    <w:p>
      <w:pPr>
        <w:pStyle w:val="31"/>
        <w:keepNext w:val="0"/>
        <w:keepLines w:val="0"/>
        <w:numPr>
          <w:ilvl w:val="3"/>
          <w:numId w:val="2"/>
        </w:numPr>
        <w:spacing w:before="120"/>
        <w:ind w:left="1134" w:firstLine="0"/>
        <w:rPr>
          <w:b w:val="0"/>
        </w:rPr>
      </w:pPr>
      <w:r>
        <w:rPr>
          <w:b w:val="0"/>
        </w:rPr>
        <w:t>Não utilizar na manipulação, sob nenhuma hipótese, os corantes relacionados no Anexo I da Portaria nº 9, de 10 de abril de 1987, em face de que a relação risco X benefício pertinente aos corantes relacionados no Anexo I ser francamente desfavorável a sua utilização em produtos de uso rotineiro por seres humanos;</w:t>
      </w:r>
    </w:p>
    <w:p>
      <w:pPr>
        <w:pStyle w:val="31"/>
        <w:keepNext w:val="0"/>
        <w:keepLines w:val="0"/>
        <w:numPr>
          <w:ilvl w:val="3"/>
          <w:numId w:val="2"/>
        </w:numPr>
        <w:spacing w:before="120"/>
        <w:ind w:left="1134" w:firstLine="0"/>
        <w:rPr>
          <w:b w:val="0"/>
        </w:rPr>
      </w:pPr>
      <w:r>
        <w:rPr>
          <w:b w:val="0"/>
        </w:rPr>
        <w:t>Fornecer saneantes domissanitários devidamente registrados no órgão de vigilância sanitária competente do Ministério da Saúde (artigos 14 e 15 do Decreto 79.094, de 05 de janeiro de 1997, que regulamenta a Lei 6.360, de 23 de setembro de 1976);</w:t>
      </w:r>
    </w:p>
    <w:p>
      <w:pPr>
        <w:pStyle w:val="31"/>
        <w:keepNext w:val="0"/>
        <w:keepLines w:val="0"/>
        <w:numPr>
          <w:ilvl w:val="3"/>
          <w:numId w:val="2"/>
        </w:numPr>
        <w:spacing w:before="120"/>
        <w:ind w:left="1134" w:firstLine="0"/>
        <w:rPr>
          <w:b w:val="0"/>
        </w:rPr>
      </w:pPr>
      <w:r>
        <w:rPr>
          <w:b w:val="0"/>
        </w:rPr>
        <w:t>Não utilizar, na prestação dos serviços, conforme Resolução ANVISA RE nº 913, de 25 de junho de 2001, os saneantes domissanitários de Risco I, listados pelo art. 5.º da Resolução 336, de 30 de julho de 1999;</w:t>
      </w:r>
    </w:p>
    <w:p>
      <w:pPr>
        <w:pStyle w:val="31"/>
        <w:keepNext w:val="0"/>
        <w:keepLines w:val="0"/>
        <w:numPr>
          <w:ilvl w:val="3"/>
          <w:numId w:val="2"/>
        </w:numPr>
        <w:spacing w:before="120"/>
        <w:ind w:left="1134" w:firstLine="0"/>
        <w:rPr>
          <w:b w:val="0"/>
        </w:rPr>
      </w:pPr>
      <w:r>
        <w:rPr>
          <w:b w:val="0"/>
        </w:rPr>
        <w:t>Fica terminantemente proibida a aplicação de saneantes domissanitários fortemente alcalinos apresentados sob a forma de líquido premido (aerossol), ou líquido para pulverização, tais como produtos para limpeza de fornos e desincrustação de gorduras, conforme Portaria DISAD - Divisão Nacional de Vigilância Sanitária nº 8, de 10 de abril de 1987;</w:t>
      </w:r>
    </w:p>
    <w:p>
      <w:pPr>
        <w:pStyle w:val="31"/>
        <w:keepNext w:val="0"/>
        <w:keepLines w:val="0"/>
        <w:numPr>
          <w:ilvl w:val="3"/>
          <w:numId w:val="2"/>
        </w:numPr>
        <w:spacing w:before="120"/>
        <w:ind w:left="1134" w:firstLine="0"/>
        <w:rPr>
          <w:b w:val="0"/>
        </w:rPr>
      </w:pPr>
      <w:r>
        <w:rPr>
          <w:b w:val="0"/>
        </w:rPr>
        <w:t>Em face da necessidade de preservar a qualidade dos recursos hídricos naturais, de importância fundamental para a saúde, e da necessidade de evitar que a flora e fauna sejam afetadas negativamente por substâncias sintéticas, a contratada somente poderá aplicar saneantes domissanitários cujas substâncias tensoativas aniônicas, utilizadas em sua composição sejam biodegradáveis, conforme disposições da Portaria nº 874, de 05 de novembro de 1998, que aprova o Regulamento Técnico sobre Biodegradabilidade dos Tensoativos Aniônicos para Produtos Saneantes Domissanitários;</w:t>
      </w:r>
    </w:p>
    <w:p>
      <w:pPr>
        <w:pStyle w:val="31"/>
        <w:keepNext w:val="0"/>
        <w:keepLines w:val="0"/>
        <w:numPr>
          <w:ilvl w:val="3"/>
          <w:numId w:val="2"/>
        </w:numPr>
        <w:spacing w:before="120"/>
        <w:ind w:left="1134" w:firstLine="0"/>
        <w:rPr>
          <w:b w:val="0"/>
        </w:rPr>
      </w:pPr>
      <w:r>
        <w:rPr>
          <w:b w:val="0"/>
        </w:rPr>
        <w:t>Quanto à aplicação de álcool a contratada deverá observar a Resolução RDC nº 46, de 20 e fevereiro de 2002 que aprova o Regulamento Técnico para o álcool etílico hidratado em todas as graduações e álcool etílico anidro;</w:t>
      </w:r>
    </w:p>
    <w:p>
      <w:pPr>
        <w:pStyle w:val="31"/>
        <w:keepNext w:val="0"/>
        <w:keepLines w:val="0"/>
        <w:numPr>
          <w:ilvl w:val="3"/>
          <w:numId w:val="2"/>
        </w:numPr>
        <w:spacing w:before="120"/>
        <w:ind w:left="1134" w:firstLine="0"/>
        <w:rPr>
          <w:b w:val="0"/>
        </w:rPr>
      </w:pPr>
      <w:r>
        <w:rPr>
          <w:b w:val="0"/>
        </w:rPr>
        <w:t>Fica proibida a aplicação de produtos que contenham o Benzeno, em sua composição, conforme Resolução - RDC nº 252, de 16 de setembro de 2003, em face da necessidade de serem adotados procedimentos para reduzir a exposição da população face aos riscos do câncer;</w:t>
      </w:r>
    </w:p>
    <w:p>
      <w:pPr>
        <w:pStyle w:val="31"/>
        <w:keepNext w:val="0"/>
        <w:keepLines w:val="0"/>
        <w:numPr>
          <w:ilvl w:val="3"/>
          <w:numId w:val="2"/>
        </w:numPr>
        <w:spacing w:before="120"/>
        <w:ind w:left="1134" w:firstLine="0"/>
        <w:rPr>
          <w:b w:val="0"/>
        </w:rPr>
      </w:pPr>
      <w:r>
        <w:rPr>
          <w:b w:val="0"/>
        </w:rPr>
        <w:t>Fica proibida a aplicação de saneantes domissanitários que apresentem associação de inseticidas a ceras para assoalhos, impermeabilizantes, polidores e outros produtos de limpeza, nos termos da Resolução Normativa CNS n° 01, de 04 de abril de 1979;</w:t>
      </w:r>
    </w:p>
    <w:p>
      <w:pPr>
        <w:pStyle w:val="31"/>
        <w:keepNext w:val="0"/>
        <w:keepLines w:val="0"/>
        <w:numPr>
          <w:ilvl w:val="3"/>
          <w:numId w:val="2"/>
        </w:numPr>
        <w:spacing w:before="120"/>
        <w:ind w:left="1134" w:firstLine="0"/>
        <w:rPr>
          <w:b w:val="0"/>
        </w:rPr>
      </w:pPr>
      <w:r>
        <w:rPr>
          <w:b w:val="0"/>
        </w:rPr>
        <w:t>Os produtos químicos relacionados pela CONTRATADA, de acordo com sua composição, fabricante e utilização, deverão ter registro no Ministério da Saúde e serem comprovados mediante apresentação de cópia reprográfica autenticada (frente e verso) do Certificado de Registro expedido pela Divisão de Produtos (DIPROD) e/ou Divisão de Produtos Saneantes Domissanitários (DISAD), da Secretaria Nacional de Vigilância Sanitária do Ministério da Saúde;</w:t>
      </w:r>
    </w:p>
    <w:p>
      <w:pPr>
        <w:pStyle w:val="31"/>
        <w:keepNext w:val="0"/>
        <w:keepLines w:val="0"/>
        <w:numPr>
          <w:ilvl w:val="2"/>
          <w:numId w:val="2"/>
        </w:numPr>
        <w:spacing w:before="120"/>
        <w:ind w:left="851" w:firstLine="0"/>
        <w:rPr>
          <w:b w:val="0"/>
        </w:rPr>
      </w:pPr>
      <w:r>
        <w:rPr>
          <w:b w:val="0"/>
        </w:rPr>
        <w:t>No que diz respeito à poluição sonora a contratada deverá observar em seus equipamentos de limpeza a necessidade de Selo Ruído, como forma de indicação do nível de potência sonora, medido em decibel - Db(A), conforme Resolução CONAMA nº 020, de 07 de dezembro de 1994.</w:t>
      </w:r>
    </w:p>
    <w:p>
      <w:pPr>
        <w:pStyle w:val="31"/>
        <w:keepNext w:val="0"/>
        <w:keepLines w:val="0"/>
        <w:numPr>
          <w:ilvl w:val="2"/>
          <w:numId w:val="2"/>
        </w:numPr>
        <w:spacing w:before="120"/>
        <w:ind w:left="851" w:firstLine="0"/>
        <w:rPr>
          <w:b w:val="0"/>
        </w:rPr>
      </w:pPr>
      <w:r>
        <w:rPr>
          <w:b w:val="0"/>
        </w:rPr>
        <w:t>A contratada deverá encaminhar os pneumáticos inservíveis abandonados ou dispostos inadequadamente, aos fabricantes para destinação final, ambientalmente adequada, tendo em vista que pneumáticos inservíveis abandonados ou dispostos inadequadamente constituem passivo ambiental, que resulta em sério risco ao meio ambiente e à saúde pública. Esta obrigação atende a Resolução CONAMA nº 258, de 26 de agosto de 1999.</w:t>
      </w:r>
    </w:p>
    <w:p>
      <w:pPr>
        <w:pStyle w:val="31"/>
        <w:keepNext w:val="0"/>
        <w:keepLines w:val="0"/>
        <w:numPr>
          <w:ilvl w:val="2"/>
          <w:numId w:val="2"/>
        </w:numPr>
        <w:spacing w:before="120"/>
        <w:ind w:left="851" w:firstLine="0"/>
        <w:rPr>
          <w:b w:val="0"/>
        </w:rPr>
      </w:pPr>
      <w:r>
        <w:rPr>
          <w:b w:val="0"/>
        </w:rPr>
        <w:t>A qualquer tempo, o Contratante poderá solicitar à empresa contratada apresentação de relação com as marcas e fabricantes dos produtos e material utilizados, podendo vir a solicitar a substituição de quaisquer itens por outros, com a mesma finalidade, considerados mais adequados do ponto de vista dos impactos ambientais.</w:t>
      </w:r>
    </w:p>
    <w:p>
      <w:pPr>
        <w:pStyle w:val="31"/>
        <w:keepNext w:val="0"/>
        <w:keepLines w:val="0"/>
        <w:shd w:val="clear" w:color="auto"/>
        <w:ind w:left="357" w:hanging="357"/>
        <w:jc w:val="left"/>
        <w:rPr>
          <w:i/>
          <w:color w:val="auto"/>
        </w:rPr>
      </w:pPr>
      <w:r>
        <w:rPr>
          <w:i/>
          <w:color w:val="auto"/>
        </w:rPr>
        <w:t>DA SUBCONTRATAÇÃO</w:t>
      </w:r>
    </w:p>
    <w:p>
      <w:pPr>
        <w:pStyle w:val="16"/>
        <w:numPr>
          <w:ilvl w:val="1"/>
          <w:numId w:val="2"/>
        </w:numPr>
        <w:spacing w:before="120" w:after="120" w:line="276" w:lineRule="auto"/>
        <w:ind w:left="425" w:firstLine="0"/>
        <w:jc w:val="both"/>
        <w:rPr>
          <w:rFonts w:cs="Arial"/>
          <w:i/>
          <w:color w:val="FF0000"/>
          <w:szCs w:val="20"/>
        </w:rPr>
      </w:pPr>
      <w:r>
        <w:rPr>
          <w:rFonts w:cs="Arial"/>
          <w:i/>
          <w:szCs w:val="20"/>
        </w:rPr>
        <w:t>Não será admitida a subcontratação do objeto licitatório</w:t>
      </w:r>
      <w:r>
        <w:rPr>
          <w:rFonts w:cs="Arial"/>
          <w:i/>
          <w:color w:val="FF0000"/>
          <w:szCs w:val="20"/>
        </w:rPr>
        <w:t>.</w:t>
      </w:r>
    </w:p>
    <w:p>
      <w:pPr>
        <w:pStyle w:val="31"/>
        <w:ind w:left="0" w:leftChars="0" w:firstLine="0" w:firstLineChars="0"/>
      </w:pPr>
      <w:r>
        <w:rPr>
          <w:lang w:val="pt-BR"/>
        </w:rPr>
        <w:t>ALTERAÇÃO SUBJETIVA</w:t>
      </w:r>
    </w:p>
    <w:p>
      <w:pPr>
        <w:pStyle w:val="31"/>
        <w:numPr>
          <w:ilvl w:val="1"/>
          <w:numId w:val="2"/>
        </w:numPr>
        <w:ind w:left="425" w:leftChars="0"/>
        <w:rPr>
          <w:b w:val="0"/>
          <w:bCs/>
        </w:rPr>
      </w:pPr>
      <w:r>
        <w:rPr>
          <w:rFonts w:cs="Times New Roman"/>
          <w:b w:val="0"/>
          <w:bCs/>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spacing w:before="120" w:after="120" w:line="276" w:lineRule="auto"/>
        <w:ind w:left="0" w:leftChars="0" w:firstLine="0" w:firstLineChars="0"/>
        <w:jc w:val="both"/>
        <w:rPr>
          <w:rFonts w:cs="Times New Roman"/>
          <w:szCs w:val="20"/>
          <w:lang w:eastAsia="en-US"/>
        </w:rPr>
      </w:pPr>
    </w:p>
    <w:p>
      <w:pPr>
        <w:spacing w:before="120" w:after="120" w:line="276" w:lineRule="auto"/>
        <w:ind w:left="0" w:leftChars="0" w:firstLine="0" w:firstLineChars="0"/>
        <w:jc w:val="both"/>
        <w:rPr>
          <w:rFonts w:cs="Arial"/>
          <w:szCs w:val="20"/>
          <w:lang w:eastAsia="en-US"/>
        </w:rPr>
      </w:pPr>
      <w:r>
        <w:rPr>
          <w:rFonts w:cs="Times New Roman"/>
          <w:szCs w:val="20"/>
          <w:lang w:eastAsia="en-US"/>
        </w:rPr>
        <w:t xml:space="preserve">16.1  </w:t>
      </w:r>
      <w:r>
        <w:rPr>
          <w:lang w:val="pt-BR" w:eastAsia="en-US"/>
        </w:rPr>
        <w:t xml:space="preserve"> </w:t>
      </w:r>
      <w:r>
        <w:rPr>
          <w:lang w:eastAsia="en-US"/>
        </w:rPr>
        <w:t>CONTROLE E FISCALIZAÇÃO DA EXECUÇÃO</w:t>
      </w:r>
    </w:p>
    <w:p>
      <w:pPr>
        <w:pStyle w:val="16"/>
        <w:spacing w:before="120" w:after="120" w:line="276" w:lineRule="auto"/>
        <w:ind w:left="0" w:firstLine="720"/>
        <w:jc w:val="both"/>
        <w:rPr>
          <w:rFonts w:cs="Arial"/>
          <w:szCs w:val="20"/>
          <w:lang w:eastAsia="en-US"/>
        </w:rPr>
      </w:pPr>
    </w:p>
    <w:p>
      <w:pPr>
        <w:pStyle w:val="16"/>
        <w:numPr>
          <w:ilvl w:val="0"/>
          <w:numId w:val="0"/>
        </w:numPr>
        <w:spacing w:before="120" w:after="120" w:line="276" w:lineRule="auto"/>
        <w:ind w:leftChars="0" w:firstLine="560" w:firstLineChars="0"/>
        <w:jc w:val="both"/>
        <w:rPr>
          <w:rFonts w:cs="Arial"/>
          <w:szCs w:val="20"/>
          <w:lang w:eastAsia="en-US"/>
        </w:rPr>
      </w:pPr>
      <w:r>
        <w:rPr>
          <w:rFonts w:cs="Arial"/>
          <w:szCs w:val="20"/>
          <w:lang w:val="pt-BR" w:eastAsia="en-US"/>
        </w:rPr>
        <w:t xml:space="preserve">16.1 </w:t>
      </w:r>
      <w:r>
        <w:rPr>
          <w:rFonts w:cs="Arial"/>
          <w:szCs w:val="20"/>
          <w:lang w:eastAsia="en-US"/>
        </w:rPr>
        <w:t xml:space="preserve"> 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  </w:t>
      </w:r>
    </w:p>
    <w:p>
      <w:pPr>
        <w:pStyle w:val="16"/>
        <w:spacing w:before="120" w:after="120" w:line="276" w:lineRule="auto"/>
        <w:ind w:left="0" w:firstLine="720"/>
        <w:jc w:val="both"/>
        <w:rPr>
          <w:rFonts w:cs="Arial"/>
          <w:szCs w:val="20"/>
          <w:lang w:eastAsia="en-US"/>
        </w:rPr>
      </w:pPr>
      <w:r>
        <w:rPr>
          <w:rFonts w:cs="Arial"/>
          <w:szCs w:val="20"/>
          <w:lang w:eastAsia="en-US"/>
        </w:rPr>
        <w:t>1</w:t>
      </w:r>
      <w:r>
        <w:rPr>
          <w:rFonts w:cs="Arial"/>
          <w:szCs w:val="20"/>
          <w:lang w:val="pt-BR" w:eastAsia="en-US"/>
        </w:rPr>
        <w:t>6</w:t>
      </w:r>
      <w:r>
        <w:rPr>
          <w:rFonts w:cs="Arial"/>
          <w:szCs w:val="20"/>
          <w:lang w:eastAsia="en-US"/>
        </w:rPr>
        <w:t xml:space="preserve">.2  O conjunto de atividades de gestão e fiscalização compete ao gestor da execução do contrato, podendo ser auxiliado pela fiscalização técnica, administrativa, setorial e pelo público usuário, de acordo com as seguintes disposições:  </w:t>
      </w:r>
    </w:p>
    <w:p>
      <w:pPr>
        <w:pStyle w:val="16"/>
        <w:spacing w:before="120" w:after="120" w:line="276" w:lineRule="auto"/>
        <w:ind w:left="0"/>
        <w:jc w:val="both"/>
        <w:rPr>
          <w:rFonts w:cs="Arial"/>
          <w:szCs w:val="20"/>
          <w:lang w:eastAsia="en-US"/>
        </w:rPr>
      </w:pPr>
    </w:p>
    <w:p>
      <w:pPr>
        <w:pStyle w:val="16"/>
        <w:spacing w:before="120" w:after="120" w:line="276" w:lineRule="auto"/>
        <w:ind w:left="708"/>
        <w:jc w:val="both"/>
        <w:rPr>
          <w:rFonts w:cs="Arial"/>
          <w:szCs w:val="20"/>
          <w:lang w:eastAsia="en-US"/>
        </w:rPr>
      </w:pPr>
      <w:r>
        <w:rPr>
          <w:rFonts w:cs="Arial"/>
          <w:szCs w:val="20"/>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pPr>
        <w:pStyle w:val="16"/>
        <w:spacing w:before="120" w:after="120" w:line="276" w:lineRule="auto"/>
        <w:ind w:left="708"/>
        <w:jc w:val="both"/>
        <w:rPr>
          <w:rFonts w:cs="Arial"/>
          <w:szCs w:val="20"/>
          <w:lang w:eastAsia="en-US"/>
        </w:rPr>
      </w:pPr>
      <w:r>
        <w:rPr>
          <w:rFonts w:cs="Arial"/>
          <w:szCs w:val="20"/>
          <w:lang w:eastAsia="en-US"/>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pPr>
        <w:pStyle w:val="16"/>
        <w:spacing w:before="120" w:after="120" w:line="276" w:lineRule="auto"/>
        <w:ind w:left="708"/>
        <w:jc w:val="both"/>
        <w:rPr>
          <w:rFonts w:cs="Arial"/>
          <w:szCs w:val="20"/>
          <w:lang w:eastAsia="en-US"/>
        </w:rPr>
      </w:pPr>
      <w:r>
        <w:rPr>
          <w:rFonts w:cs="Arial"/>
          <w:szCs w:val="20"/>
          <w:lang w:eastAsia="en-US"/>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pPr>
        <w:pStyle w:val="16"/>
        <w:spacing w:before="120" w:after="120" w:line="276" w:lineRule="auto"/>
        <w:ind w:left="708"/>
        <w:jc w:val="both"/>
        <w:rPr>
          <w:rFonts w:cs="Arial"/>
          <w:szCs w:val="20"/>
          <w:lang w:eastAsia="en-US"/>
        </w:rPr>
      </w:pPr>
      <w:r>
        <w:rPr>
          <w:rFonts w:cs="Arial"/>
          <w:szCs w:val="20"/>
          <w:lang w:eastAsia="en-US"/>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e  </w:t>
      </w:r>
    </w:p>
    <w:p>
      <w:pPr>
        <w:pStyle w:val="16"/>
        <w:spacing w:before="120" w:after="120" w:line="276" w:lineRule="auto"/>
        <w:ind w:left="708"/>
        <w:jc w:val="both"/>
        <w:rPr>
          <w:rFonts w:cs="Arial"/>
          <w:b/>
          <w:i/>
          <w:color w:val="FF0000"/>
          <w:szCs w:val="20"/>
          <w:lang w:eastAsia="en-US"/>
        </w:rPr>
      </w:pPr>
      <w:r>
        <w:rPr>
          <w:rFonts w:cs="Arial"/>
          <w:i/>
          <w:color w:val="FF0000"/>
          <w:szCs w:val="20"/>
          <w:highlight w:val="cyan"/>
          <w:lang w:eastAsia="en-US"/>
        </w:rPr>
        <w:t>V -</w:t>
      </w:r>
      <w:r>
        <w:rPr>
          <w:rFonts w:cs="Arial"/>
          <w:b/>
          <w:i/>
          <w:color w:val="FF0000"/>
          <w:szCs w:val="20"/>
          <w:highlight w:val="cyan"/>
          <w:lang w:eastAsia="en-US"/>
        </w:rPr>
        <w:t xml:space="preserve">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w:t>
      </w:r>
      <w:r>
        <w:rPr>
          <w:rFonts w:cs="Arial"/>
          <w:b/>
          <w:i/>
          <w:color w:val="FF0000"/>
          <w:szCs w:val="20"/>
          <w:lang w:eastAsia="en-US"/>
        </w:rPr>
        <w:t xml:space="preserve">  </w:t>
      </w:r>
    </w:p>
    <w:p>
      <w:pPr>
        <w:pStyle w:val="16"/>
        <w:spacing w:before="120" w:after="120" w:line="276" w:lineRule="auto"/>
        <w:ind w:left="0" w:firstLine="1428"/>
        <w:jc w:val="both"/>
        <w:rPr>
          <w:rFonts w:cs="Arial"/>
          <w:szCs w:val="20"/>
          <w:lang w:eastAsia="en-US"/>
        </w:rPr>
      </w:pPr>
      <w:r>
        <w:rPr>
          <w:rFonts w:cs="Arial"/>
          <w:szCs w:val="20"/>
          <w:lang w:eastAsia="en-US"/>
        </w:rPr>
        <w:t>1</w:t>
      </w:r>
      <w:r>
        <w:rPr>
          <w:rFonts w:cs="Arial"/>
          <w:szCs w:val="20"/>
          <w:lang w:val="pt-BR" w:eastAsia="en-US"/>
        </w:rPr>
        <w:t>6</w:t>
      </w:r>
      <w:r>
        <w:rPr>
          <w:rFonts w:cs="Arial"/>
          <w:szCs w:val="20"/>
          <w:lang w:eastAsia="en-US"/>
        </w:rPr>
        <w:t xml:space="preserve">.2.1 Quando a contratação exigir fiscalização setorial, o órgão ou entidade deverá designar representantes nesses locais para atuarem como fiscais setoriais. </w:t>
      </w:r>
    </w:p>
    <w:p>
      <w:pPr>
        <w:pStyle w:val="16"/>
        <w:spacing w:before="120" w:after="120" w:line="276" w:lineRule="auto"/>
        <w:ind w:left="708"/>
        <w:jc w:val="both"/>
        <w:rPr>
          <w:rFonts w:cs="Arial"/>
          <w:szCs w:val="20"/>
          <w:lang w:eastAsia="en-US"/>
        </w:rPr>
      </w:pPr>
    </w:p>
    <w:p>
      <w:pPr>
        <w:spacing w:before="120" w:after="120" w:line="276" w:lineRule="auto"/>
        <w:ind w:firstLine="708"/>
        <w:jc w:val="both"/>
        <w:rPr>
          <w:rFonts w:cs="Arial"/>
          <w:szCs w:val="20"/>
          <w:lang w:eastAsia="en-US"/>
        </w:rPr>
      </w:pPr>
      <w:r>
        <w:rPr>
          <w:rFonts w:cs="Arial"/>
          <w:szCs w:val="20"/>
          <w:lang w:eastAsia="en-US"/>
        </w:rPr>
        <w:t>1</w:t>
      </w:r>
      <w:r>
        <w:rPr>
          <w:rFonts w:cs="Arial"/>
          <w:szCs w:val="20"/>
          <w:lang w:val="pt-BR" w:eastAsia="en-US"/>
        </w:rPr>
        <w:t>6</w:t>
      </w:r>
      <w:r>
        <w:rPr>
          <w:rFonts w:cs="Arial"/>
          <w:szCs w:val="20"/>
          <w:lang w:eastAsia="en-US"/>
        </w:rPr>
        <w:t xml:space="preserve">.3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pPr>
        <w:pStyle w:val="16"/>
        <w:spacing w:before="120" w:after="120" w:line="276" w:lineRule="auto"/>
        <w:ind w:left="0" w:firstLine="708"/>
        <w:jc w:val="both"/>
        <w:rPr>
          <w:rFonts w:cs="Arial"/>
          <w:szCs w:val="20"/>
          <w:lang w:eastAsia="en-US"/>
        </w:rPr>
      </w:pPr>
      <w:r>
        <w:rPr>
          <w:rFonts w:cs="Arial"/>
          <w:szCs w:val="20"/>
          <w:lang w:eastAsia="en-US"/>
        </w:rPr>
        <w:t>1</w:t>
      </w:r>
      <w:r>
        <w:rPr>
          <w:rFonts w:cs="Arial"/>
          <w:szCs w:val="20"/>
          <w:lang w:val="pt-BR" w:eastAsia="en-US"/>
        </w:rPr>
        <w:t>6</w:t>
      </w:r>
      <w:r>
        <w:rPr>
          <w:rFonts w:cs="Arial"/>
          <w:szCs w:val="20"/>
          <w:lang w:eastAsia="en-US"/>
        </w:rPr>
        <w:t>.4 A fisccalização administrativa poderá ser efetivada com base em critérios estatísticos, levando-se em consideração falhas que impactem o contrato como um todo e não apenas erros e falhas eventuais no pagamento de alguma vantagem a um determinado empregado.</w:t>
      </w:r>
    </w:p>
    <w:p>
      <w:pPr>
        <w:pStyle w:val="16"/>
        <w:spacing w:before="120" w:after="120" w:line="276" w:lineRule="auto"/>
        <w:ind w:left="708"/>
        <w:jc w:val="both"/>
        <w:rPr>
          <w:rFonts w:cs="Arial"/>
          <w:szCs w:val="20"/>
          <w:lang w:eastAsia="en-US"/>
        </w:rPr>
      </w:pPr>
    </w:p>
    <w:p>
      <w:pPr>
        <w:pStyle w:val="16"/>
        <w:spacing w:before="120" w:after="120" w:line="276" w:lineRule="auto"/>
        <w:ind w:left="0" w:firstLine="708"/>
        <w:jc w:val="both"/>
        <w:rPr>
          <w:rFonts w:cs="Arial"/>
          <w:szCs w:val="20"/>
          <w:lang w:eastAsia="en-US"/>
        </w:rPr>
      </w:pPr>
      <w:r>
        <w:rPr>
          <w:rFonts w:cs="Arial"/>
          <w:szCs w:val="20"/>
          <w:lang w:eastAsia="en-US"/>
        </w:rPr>
        <w:t>1</w:t>
      </w:r>
      <w:r>
        <w:rPr>
          <w:rFonts w:cs="Arial"/>
          <w:szCs w:val="20"/>
          <w:lang w:val="pt-BR" w:eastAsia="en-US"/>
        </w:rPr>
        <w:t>6</w:t>
      </w:r>
      <w:r>
        <w:rPr>
          <w:rFonts w:cs="Arial"/>
          <w:szCs w:val="20"/>
          <w:lang w:eastAsia="en-US"/>
        </w:rPr>
        <w:t xml:space="preserve">.5 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pPr>
        <w:pStyle w:val="16"/>
        <w:spacing w:before="120" w:after="120" w:line="276" w:lineRule="auto"/>
        <w:ind w:left="0" w:firstLine="708"/>
        <w:jc w:val="both"/>
        <w:rPr>
          <w:rFonts w:cs="Arial"/>
          <w:szCs w:val="20"/>
          <w:lang w:eastAsia="en-US"/>
        </w:rPr>
      </w:pPr>
    </w:p>
    <w:p>
      <w:pPr>
        <w:pStyle w:val="16"/>
        <w:numPr>
          <w:ilvl w:val="0"/>
          <w:numId w:val="11"/>
        </w:numPr>
        <w:spacing w:before="120" w:after="120" w:line="276" w:lineRule="auto"/>
        <w:jc w:val="both"/>
        <w:rPr>
          <w:rFonts w:cs="Arial"/>
          <w:szCs w:val="20"/>
          <w:lang w:eastAsia="en-US"/>
        </w:rPr>
      </w:pPr>
      <w:r>
        <w:rPr>
          <w:rFonts w:cs="Arial"/>
          <w:szCs w:val="20"/>
          <w:lang w:eastAsia="en-US"/>
        </w:rPr>
        <w:t xml:space="preserve">no primeiro mês da prestação dos serviços, a CONTRATADA deverá apresentar a seguinte documentação:  </w:t>
      </w:r>
    </w:p>
    <w:p>
      <w:pPr>
        <w:pStyle w:val="16"/>
        <w:spacing w:before="120" w:after="120" w:line="276" w:lineRule="auto"/>
        <w:ind w:left="1068"/>
        <w:jc w:val="both"/>
        <w:rPr>
          <w:rFonts w:cs="Arial"/>
          <w:szCs w:val="20"/>
          <w:lang w:eastAsia="en-US"/>
        </w:rPr>
      </w:pPr>
    </w:p>
    <w:p>
      <w:pPr>
        <w:pStyle w:val="16"/>
        <w:spacing w:before="120" w:after="120" w:line="276" w:lineRule="auto"/>
        <w:ind w:left="708"/>
        <w:jc w:val="both"/>
        <w:rPr>
          <w:rFonts w:cs="Arial"/>
          <w:szCs w:val="20"/>
          <w:lang w:eastAsia="en-US"/>
        </w:rPr>
      </w:pPr>
      <w:r>
        <w:rPr>
          <w:rFonts w:cs="Arial"/>
          <w:szCs w:val="20"/>
          <w:lang w:eastAsia="en-US"/>
        </w:rPr>
        <w:t xml:space="preserve">a.1. relação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pPr>
        <w:pStyle w:val="16"/>
        <w:spacing w:before="120" w:after="120" w:line="276" w:lineRule="auto"/>
        <w:ind w:left="708"/>
        <w:jc w:val="both"/>
        <w:rPr>
          <w:rFonts w:cs="Arial"/>
          <w:szCs w:val="20"/>
          <w:lang w:eastAsia="en-US"/>
        </w:rPr>
      </w:pPr>
    </w:p>
    <w:p>
      <w:pPr>
        <w:pStyle w:val="16"/>
        <w:jc w:val="both"/>
        <w:rPr>
          <w:rFonts w:cs="Arial"/>
          <w:szCs w:val="20"/>
          <w:lang w:eastAsia="en-US"/>
        </w:rPr>
      </w:pPr>
      <w:r>
        <w:rPr>
          <w:rFonts w:cs="Arial"/>
          <w:szCs w:val="20"/>
          <w:lang w:eastAsia="en-US"/>
        </w:rPr>
        <w:t xml:space="preserve">a.2. Carteira de Trabalho e Previdência Social (CTPS) dos empregados admitidos e dos responsáveis técnicos pela execução dos serviços, quando for o caso, devidamente assinada pela CONTRATADA; e  </w:t>
      </w:r>
    </w:p>
    <w:p>
      <w:pPr>
        <w:pStyle w:val="16"/>
        <w:jc w:val="both"/>
        <w:rPr>
          <w:rFonts w:cs="Arial"/>
          <w:szCs w:val="20"/>
          <w:lang w:eastAsia="en-US"/>
        </w:rPr>
      </w:pPr>
    </w:p>
    <w:p>
      <w:pPr>
        <w:pStyle w:val="16"/>
        <w:jc w:val="both"/>
        <w:rPr>
          <w:rFonts w:cs="Arial"/>
          <w:szCs w:val="20"/>
          <w:lang w:eastAsia="en-US"/>
        </w:rPr>
      </w:pPr>
      <w:r>
        <w:rPr>
          <w:rFonts w:cs="Arial"/>
          <w:szCs w:val="20"/>
          <w:lang w:eastAsia="en-US"/>
        </w:rPr>
        <w:t xml:space="preserve">a.3. exames médicos admissionais dos empregados da CONTRATADA que prestarão os serviços.  </w:t>
      </w:r>
    </w:p>
    <w:p>
      <w:pPr>
        <w:pStyle w:val="16"/>
        <w:jc w:val="both"/>
        <w:rPr>
          <w:rFonts w:cs="Arial"/>
          <w:szCs w:val="20"/>
          <w:lang w:eastAsia="en-US"/>
        </w:rPr>
      </w:pPr>
    </w:p>
    <w:p>
      <w:pPr>
        <w:pStyle w:val="16"/>
        <w:numPr>
          <w:ilvl w:val="0"/>
          <w:numId w:val="11"/>
        </w:numPr>
        <w:jc w:val="both"/>
        <w:rPr>
          <w:rFonts w:cs="Arial"/>
          <w:szCs w:val="20"/>
          <w:lang w:eastAsia="en-US"/>
        </w:rPr>
      </w:pPr>
      <w:r>
        <w:rPr>
          <w:rFonts w:cs="Arial"/>
          <w:szCs w:val="20"/>
          <w:lang w:eastAsia="en-US"/>
        </w:rPr>
        <w:t xml:space="preserve">entrega até o dia trinta do mês seguinte ao da prestação dos serviços ao setor responsável pela fiscalização do contrato dos seguintes documentos, quando não for possível a verificação da regularidade destes no Sistema de Cadastro de Fornecedores (Sicaf): </w:t>
      </w:r>
    </w:p>
    <w:p>
      <w:pPr>
        <w:pStyle w:val="16"/>
        <w:ind w:left="708"/>
        <w:jc w:val="both"/>
        <w:rPr>
          <w:rFonts w:cs="Arial"/>
          <w:szCs w:val="20"/>
          <w:lang w:eastAsia="en-US"/>
        </w:rPr>
      </w:pPr>
    </w:p>
    <w:p>
      <w:pPr>
        <w:pStyle w:val="16"/>
        <w:jc w:val="both"/>
        <w:rPr>
          <w:rFonts w:cs="Arial"/>
          <w:szCs w:val="20"/>
          <w:lang w:eastAsia="en-US"/>
        </w:rPr>
      </w:pPr>
      <w:r>
        <w:rPr>
          <w:rFonts w:cs="Arial"/>
          <w:szCs w:val="20"/>
          <w:lang w:eastAsia="en-US"/>
        </w:rPr>
        <w:t xml:space="preserve">b.1. Certidão Negativa de Débitos relativos a Créditos Tributários Federais e à Dívida Ativa da União (CND);  </w:t>
      </w:r>
    </w:p>
    <w:p>
      <w:pPr>
        <w:pStyle w:val="16"/>
        <w:jc w:val="both"/>
        <w:rPr>
          <w:rFonts w:cs="Arial"/>
          <w:szCs w:val="20"/>
          <w:lang w:eastAsia="en-US"/>
        </w:rPr>
      </w:pPr>
    </w:p>
    <w:p>
      <w:pPr>
        <w:pStyle w:val="16"/>
        <w:jc w:val="both"/>
        <w:rPr>
          <w:rFonts w:cs="Arial"/>
          <w:szCs w:val="20"/>
          <w:lang w:eastAsia="en-US"/>
        </w:rPr>
      </w:pPr>
      <w:r>
        <w:rPr>
          <w:rFonts w:cs="Arial"/>
          <w:szCs w:val="20"/>
          <w:lang w:eastAsia="en-US"/>
        </w:rPr>
        <w:t xml:space="preserve">b.2. certidões que comprovem a regularidade perante as Fazendas Estadual, Distrital e Municipal do domicílio ou sede do contratado;  </w:t>
      </w:r>
    </w:p>
    <w:p>
      <w:pPr>
        <w:pStyle w:val="16"/>
        <w:jc w:val="both"/>
        <w:rPr>
          <w:rFonts w:cs="Arial"/>
          <w:szCs w:val="20"/>
          <w:lang w:eastAsia="en-US"/>
        </w:rPr>
      </w:pPr>
    </w:p>
    <w:p>
      <w:pPr>
        <w:pStyle w:val="16"/>
        <w:jc w:val="both"/>
        <w:rPr>
          <w:rFonts w:cs="Arial"/>
          <w:szCs w:val="20"/>
          <w:lang w:eastAsia="en-US"/>
        </w:rPr>
      </w:pPr>
      <w:r>
        <w:rPr>
          <w:rFonts w:cs="Arial"/>
          <w:szCs w:val="20"/>
          <w:lang w:eastAsia="en-US"/>
        </w:rPr>
        <w:t xml:space="preserve">b.3. Certidão de Regularidade do FGTS (CRF); e  </w:t>
      </w:r>
    </w:p>
    <w:p>
      <w:pPr>
        <w:pStyle w:val="16"/>
        <w:jc w:val="both"/>
        <w:rPr>
          <w:rFonts w:cs="Arial"/>
          <w:szCs w:val="20"/>
          <w:lang w:eastAsia="en-US"/>
        </w:rPr>
      </w:pPr>
    </w:p>
    <w:p>
      <w:pPr>
        <w:pStyle w:val="16"/>
        <w:jc w:val="both"/>
        <w:rPr>
          <w:rFonts w:cs="Arial"/>
          <w:szCs w:val="20"/>
          <w:lang w:eastAsia="en-US"/>
        </w:rPr>
      </w:pPr>
      <w:r>
        <w:rPr>
          <w:rFonts w:cs="Arial"/>
          <w:szCs w:val="20"/>
          <w:lang w:eastAsia="en-US"/>
        </w:rPr>
        <w:t xml:space="preserve">b.4. Certidão Negativa de Débitos Trabalhistas (CNDT).  </w:t>
      </w:r>
    </w:p>
    <w:p>
      <w:pPr>
        <w:pStyle w:val="16"/>
        <w:jc w:val="both"/>
        <w:rPr>
          <w:rFonts w:cs="Arial"/>
          <w:szCs w:val="20"/>
          <w:lang w:eastAsia="en-US"/>
        </w:rPr>
      </w:pPr>
    </w:p>
    <w:p>
      <w:pPr>
        <w:pStyle w:val="16"/>
        <w:numPr>
          <w:ilvl w:val="0"/>
          <w:numId w:val="11"/>
        </w:numPr>
        <w:jc w:val="both"/>
        <w:rPr>
          <w:rFonts w:cs="Arial"/>
          <w:szCs w:val="20"/>
          <w:lang w:eastAsia="en-US"/>
        </w:rPr>
      </w:pPr>
      <w:r>
        <w:rPr>
          <w:rFonts w:cs="Arial"/>
          <w:szCs w:val="20"/>
          <w:lang w:eastAsia="en-US"/>
        </w:rPr>
        <w:t xml:space="preserve">entrega, quando solicitado pela CONTRATANTE, de quaisquer dos seguintes documentos:  </w:t>
      </w:r>
    </w:p>
    <w:p>
      <w:pPr>
        <w:pStyle w:val="16"/>
        <w:ind w:left="708"/>
        <w:jc w:val="both"/>
        <w:rPr>
          <w:rFonts w:cs="Arial"/>
          <w:szCs w:val="20"/>
          <w:lang w:eastAsia="en-US"/>
        </w:rPr>
      </w:pPr>
    </w:p>
    <w:p>
      <w:pPr>
        <w:pStyle w:val="16"/>
        <w:ind w:left="708"/>
        <w:jc w:val="both"/>
        <w:rPr>
          <w:rFonts w:cs="Arial"/>
          <w:szCs w:val="20"/>
          <w:lang w:eastAsia="en-US"/>
        </w:rPr>
      </w:pPr>
      <w:r>
        <w:rPr>
          <w:rFonts w:cs="Arial"/>
          <w:szCs w:val="20"/>
          <w:lang w:eastAsia="en-US"/>
        </w:rPr>
        <w:t xml:space="preserve">c.1. extrato da conta do INSS e do FGTS de qualquer empregado, a critério da CONTRATANTE; </w:t>
      </w:r>
    </w:p>
    <w:p>
      <w:pPr>
        <w:pStyle w:val="16"/>
        <w:ind w:left="708"/>
        <w:jc w:val="both"/>
        <w:rPr>
          <w:rFonts w:cs="Arial"/>
          <w:szCs w:val="20"/>
          <w:lang w:eastAsia="en-US"/>
        </w:rPr>
      </w:pPr>
    </w:p>
    <w:p>
      <w:pPr>
        <w:pStyle w:val="16"/>
        <w:ind w:left="708"/>
        <w:jc w:val="both"/>
        <w:rPr>
          <w:rFonts w:cs="Arial"/>
          <w:szCs w:val="20"/>
          <w:lang w:eastAsia="en-US"/>
        </w:rPr>
      </w:pPr>
      <w:r>
        <w:rPr>
          <w:rFonts w:cs="Arial"/>
          <w:szCs w:val="20"/>
          <w:lang w:eastAsia="en-US"/>
        </w:rPr>
        <w:t>c.2. cópia da folha de pagamento analítica de qualquer mês da prestação dos serviços, em que conste como tomador CONTRATANTE;</w:t>
      </w:r>
    </w:p>
    <w:p>
      <w:pPr>
        <w:pStyle w:val="16"/>
        <w:ind w:left="708"/>
        <w:jc w:val="both"/>
        <w:rPr>
          <w:rFonts w:cs="Arial"/>
          <w:szCs w:val="20"/>
          <w:lang w:eastAsia="en-US"/>
        </w:rPr>
      </w:pPr>
    </w:p>
    <w:p>
      <w:pPr>
        <w:pStyle w:val="16"/>
        <w:ind w:left="708"/>
        <w:jc w:val="both"/>
        <w:rPr>
          <w:rFonts w:cs="Arial"/>
          <w:szCs w:val="20"/>
          <w:lang w:eastAsia="en-US"/>
        </w:rPr>
      </w:pPr>
      <w:r>
        <w:rPr>
          <w:rFonts w:cs="Arial"/>
          <w:szCs w:val="20"/>
          <w:lang w:eastAsia="en-US"/>
        </w:rPr>
        <w:t xml:space="preserve">c.3. cópia dos contracheques dos empregados relativos a qualquer mês da prestação dos serviços ou, ainda, quando necessário, cópia de recibos de depósitos bancários;  </w:t>
      </w:r>
    </w:p>
    <w:p>
      <w:pPr>
        <w:pStyle w:val="16"/>
        <w:ind w:left="708"/>
        <w:jc w:val="both"/>
        <w:rPr>
          <w:rFonts w:cs="Arial"/>
          <w:szCs w:val="20"/>
          <w:lang w:eastAsia="en-US"/>
        </w:rPr>
      </w:pPr>
    </w:p>
    <w:p>
      <w:pPr>
        <w:pStyle w:val="16"/>
        <w:ind w:left="708"/>
        <w:jc w:val="both"/>
        <w:rPr>
          <w:rFonts w:cs="Arial"/>
          <w:szCs w:val="20"/>
          <w:lang w:eastAsia="en-US"/>
        </w:rPr>
      </w:pPr>
      <w:r>
        <w:rPr>
          <w:rFonts w:cs="Arial"/>
          <w:szCs w:val="20"/>
          <w:lang w:eastAsia="en-US"/>
        </w:rPr>
        <w:t xml:space="preserve">c.4. comprovantes de entrega de benefícios suplementares (vale-transporte, vale-alimentação, entre outros), a que estiver obrigada por força de lei ou de Convenção ou Acordo Coletivo de Trabalho, relativos a qualquer mês da prestação dos serviços e de qualquer empregado; e  </w:t>
      </w:r>
    </w:p>
    <w:p>
      <w:pPr>
        <w:pStyle w:val="16"/>
        <w:ind w:left="708"/>
        <w:jc w:val="both"/>
        <w:rPr>
          <w:rFonts w:cs="Arial"/>
          <w:szCs w:val="20"/>
          <w:lang w:eastAsia="en-US"/>
        </w:rPr>
      </w:pPr>
    </w:p>
    <w:p>
      <w:pPr>
        <w:pStyle w:val="16"/>
        <w:ind w:left="708"/>
        <w:jc w:val="both"/>
        <w:rPr>
          <w:rFonts w:cs="Arial"/>
          <w:szCs w:val="20"/>
          <w:lang w:eastAsia="en-US"/>
        </w:rPr>
      </w:pPr>
      <w:r>
        <w:rPr>
          <w:rFonts w:cs="Arial"/>
          <w:szCs w:val="20"/>
          <w:lang w:eastAsia="en-US"/>
        </w:rPr>
        <w:t xml:space="preserve">c.5. comprovantes de realização de eventuais cursos de treinamento e reciclagem que forem exigidos por lei ou pelo contrato.  </w:t>
      </w:r>
    </w:p>
    <w:p>
      <w:pPr>
        <w:pStyle w:val="16"/>
        <w:ind w:left="708"/>
        <w:jc w:val="both"/>
        <w:rPr>
          <w:rFonts w:cs="Arial"/>
          <w:szCs w:val="20"/>
          <w:lang w:eastAsia="en-US"/>
        </w:rPr>
      </w:pPr>
    </w:p>
    <w:p>
      <w:pPr>
        <w:pStyle w:val="16"/>
        <w:ind w:left="708"/>
        <w:jc w:val="both"/>
        <w:rPr>
          <w:rFonts w:cs="Arial"/>
          <w:szCs w:val="20"/>
          <w:lang w:eastAsia="en-US"/>
        </w:rPr>
      </w:pPr>
      <w:r>
        <w:rPr>
          <w:rFonts w:cs="Arial"/>
          <w:szCs w:val="20"/>
          <w:lang w:eastAsia="en-US"/>
        </w:rPr>
        <w:t xml:space="preserve">d) entrega de cópia da documentação abaixo relacionada, quando da extinção ou rescisão do contrato, após o último mês de prestação dos serviços, no prazo definido no contrato:  </w:t>
      </w:r>
    </w:p>
    <w:p>
      <w:pPr>
        <w:pStyle w:val="16"/>
        <w:ind w:left="708"/>
        <w:jc w:val="both"/>
        <w:rPr>
          <w:rFonts w:cs="Arial"/>
          <w:szCs w:val="20"/>
          <w:lang w:eastAsia="en-US"/>
        </w:rPr>
      </w:pPr>
    </w:p>
    <w:p>
      <w:pPr>
        <w:pStyle w:val="16"/>
        <w:ind w:left="708"/>
        <w:jc w:val="both"/>
        <w:rPr>
          <w:rFonts w:cs="Arial"/>
          <w:szCs w:val="20"/>
          <w:lang w:eastAsia="en-US"/>
        </w:rPr>
      </w:pPr>
      <w:r>
        <w:rPr>
          <w:rFonts w:cs="Arial"/>
          <w:szCs w:val="20"/>
          <w:lang w:eastAsia="en-US"/>
        </w:rPr>
        <w:t xml:space="preserve">d.1. termos de rescisão dos contratos de trabalho dos empregados prestadores de serviço, devidamente homologados, quando exigível pelo sindicato da categoria; </w:t>
      </w:r>
    </w:p>
    <w:p>
      <w:pPr>
        <w:pStyle w:val="16"/>
        <w:ind w:left="708"/>
        <w:jc w:val="both"/>
        <w:rPr>
          <w:rFonts w:cs="Arial"/>
          <w:szCs w:val="20"/>
          <w:lang w:eastAsia="en-US"/>
        </w:rPr>
      </w:pPr>
    </w:p>
    <w:p>
      <w:pPr>
        <w:pStyle w:val="16"/>
        <w:ind w:left="708"/>
        <w:jc w:val="both"/>
        <w:rPr>
          <w:rFonts w:cs="Arial"/>
          <w:szCs w:val="20"/>
          <w:lang w:eastAsia="en-US"/>
        </w:rPr>
      </w:pPr>
      <w:r>
        <w:rPr>
          <w:rFonts w:cs="Arial"/>
          <w:szCs w:val="20"/>
          <w:lang w:eastAsia="en-US"/>
        </w:rPr>
        <w:t xml:space="preserve">d.2. guias de recolhimento da contribuição previdenciária e do FGTS, referentes às rescisões contratuais;  </w:t>
      </w:r>
    </w:p>
    <w:p>
      <w:pPr>
        <w:pStyle w:val="16"/>
        <w:ind w:left="708"/>
        <w:jc w:val="both"/>
        <w:rPr>
          <w:rFonts w:cs="Arial"/>
          <w:szCs w:val="20"/>
          <w:lang w:eastAsia="en-US"/>
        </w:rPr>
      </w:pPr>
    </w:p>
    <w:p>
      <w:pPr>
        <w:pStyle w:val="16"/>
        <w:ind w:left="708"/>
        <w:jc w:val="both"/>
        <w:rPr>
          <w:rFonts w:cs="Arial"/>
          <w:szCs w:val="20"/>
          <w:lang w:eastAsia="en-US"/>
        </w:rPr>
      </w:pPr>
      <w:r>
        <w:rPr>
          <w:rFonts w:cs="Arial"/>
          <w:szCs w:val="20"/>
          <w:lang w:eastAsia="en-US"/>
        </w:rPr>
        <w:t xml:space="preserve">d.3. extratos dos depósitos efetuados nas contas vinculadas individuais do FGTS de cada empregado dispensado;  </w:t>
      </w:r>
    </w:p>
    <w:p>
      <w:pPr>
        <w:pStyle w:val="16"/>
        <w:ind w:left="708"/>
        <w:jc w:val="both"/>
        <w:rPr>
          <w:rFonts w:cs="Arial"/>
          <w:szCs w:val="20"/>
          <w:lang w:eastAsia="en-US"/>
        </w:rPr>
      </w:pPr>
    </w:p>
    <w:p>
      <w:pPr>
        <w:pStyle w:val="16"/>
        <w:ind w:left="708"/>
        <w:jc w:val="both"/>
        <w:rPr>
          <w:rFonts w:cs="Arial"/>
          <w:szCs w:val="20"/>
          <w:lang w:eastAsia="en-US"/>
        </w:rPr>
      </w:pPr>
      <w:r>
        <w:rPr>
          <w:rFonts w:cs="Arial"/>
          <w:szCs w:val="20"/>
          <w:lang w:eastAsia="en-US"/>
        </w:rPr>
        <w:t xml:space="preserve">d.4. exames médicos demissionais dos empregados dispensados.  </w:t>
      </w:r>
    </w:p>
    <w:p>
      <w:pPr>
        <w:pStyle w:val="16"/>
        <w:ind w:left="708"/>
        <w:jc w:val="both"/>
        <w:rPr>
          <w:rFonts w:cs="Arial"/>
          <w:b/>
          <w:szCs w:val="20"/>
          <w:lang w:eastAsia="en-US"/>
        </w:rPr>
      </w:pPr>
    </w:p>
    <w:p>
      <w:pPr>
        <w:pStyle w:val="16"/>
        <w:spacing w:before="120" w:after="120" w:line="276" w:lineRule="auto"/>
        <w:ind w:left="708"/>
        <w:jc w:val="both"/>
        <w:rPr>
          <w:rFonts w:cs="Arial"/>
          <w:szCs w:val="20"/>
          <w:lang w:eastAsia="en-US"/>
        </w:rPr>
      </w:pPr>
      <w:r>
        <w:rPr>
          <w:rFonts w:cs="Arial"/>
          <w:szCs w:val="20"/>
          <w:lang w:eastAsia="en-US"/>
        </w:rPr>
        <w:t>1</w:t>
      </w:r>
      <w:r>
        <w:rPr>
          <w:rFonts w:cs="Arial"/>
          <w:szCs w:val="20"/>
          <w:lang w:val="pt-BR" w:eastAsia="en-US"/>
        </w:rPr>
        <w:t>6</w:t>
      </w:r>
      <w:r>
        <w:rPr>
          <w:rFonts w:cs="Arial"/>
          <w:szCs w:val="20"/>
          <w:lang w:eastAsia="en-US"/>
        </w:rPr>
        <w:t>.6 A CONTRATANTE deverá analisar a documentação solicitada na alínea “d” acima no prazo de 30 (trinta) dias após o recebimento dos documentos, prorrogáveis por mais 30 (trinta) dias, justificadamente.</w:t>
      </w:r>
    </w:p>
    <w:p>
      <w:pPr>
        <w:pStyle w:val="16"/>
        <w:spacing w:before="120" w:after="120" w:line="276" w:lineRule="auto"/>
        <w:ind w:left="708"/>
        <w:jc w:val="both"/>
        <w:rPr>
          <w:rFonts w:cs="Arial"/>
          <w:color w:val="FF0000"/>
          <w:szCs w:val="20"/>
          <w:lang w:eastAsia="en-US"/>
        </w:rPr>
      </w:pPr>
    </w:p>
    <w:p>
      <w:pPr>
        <w:rPr>
          <w:color w:val="FF0000"/>
          <w:lang w:eastAsia="en-US"/>
        </w:rPr>
      </w:pPr>
    </w:p>
    <w:p>
      <w:pPr>
        <w:jc w:val="both"/>
        <w:rPr>
          <w:lang w:eastAsia="en-US"/>
        </w:rPr>
      </w:pPr>
      <w:r>
        <w:rPr>
          <w:lang w:eastAsia="en-US"/>
        </w:rPr>
        <w:t>1</w:t>
      </w:r>
      <w:r>
        <w:rPr>
          <w:lang w:val="pt-BR" w:eastAsia="en-US"/>
        </w:rPr>
        <w:t>6</w:t>
      </w:r>
      <w:r>
        <w:rPr>
          <w:lang w:eastAsia="en-US"/>
        </w:rPr>
        <w:t>.</w:t>
      </w:r>
      <w:r>
        <w:rPr>
          <w:lang w:val="pt-BR" w:eastAsia="en-US"/>
        </w:rPr>
        <w:t>7</w:t>
      </w:r>
      <w:r>
        <w:rPr>
          <w:lang w:eastAsia="en-US"/>
        </w:rPr>
        <w:t xml:space="preserve"> No caso de sociedades diversas, tais como as Organizações Sociais Civis de Interesse Público (Oscip’s) e as Organizações Sociais, será exigida a comprovação de atendimento a eventuais obrigações decorrentes da legislação que rege as respectivas organizações. </w:t>
      </w:r>
    </w:p>
    <w:p>
      <w:pPr>
        <w:jc w:val="both"/>
        <w:rPr>
          <w:lang w:eastAsia="en-US"/>
        </w:rPr>
      </w:pPr>
    </w:p>
    <w:p>
      <w:pPr>
        <w:jc w:val="both"/>
        <w:rPr>
          <w:lang w:eastAsia="en-US"/>
        </w:rPr>
      </w:pPr>
      <w:r>
        <w:rPr>
          <w:lang w:eastAsia="en-US"/>
        </w:rPr>
        <w:t>1</w:t>
      </w:r>
      <w:r>
        <w:rPr>
          <w:lang w:val="pt-BR" w:eastAsia="en-US"/>
        </w:rPr>
        <w:t>6</w:t>
      </w:r>
      <w:r>
        <w:rPr>
          <w:lang w:eastAsia="en-US"/>
        </w:rPr>
        <w:t>.</w:t>
      </w:r>
      <w:r>
        <w:rPr>
          <w:lang w:val="pt-BR" w:eastAsia="en-US"/>
        </w:rPr>
        <w:t>8</w:t>
      </w:r>
      <w:r>
        <w:rPr>
          <w:lang w:eastAsia="en-US"/>
        </w:rPr>
        <w:t xml:space="preserve"> Sempre que houver admissão de novos empregados pela contratada, os documentos elencados no subitem 17.5 acima deverão ser apresentados. </w:t>
      </w:r>
    </w:p>
    <w:p>
      <w:pPr>
        <w:jc w:val="both"/>
        <w:rPr>
          <w:lang w:eastAsia="en-US"/>
        </w:rPr>
      </w:pPr>
    </w:p>
    <w:p>
      <w:pPr>
        <w:jc w:val="both"/>
        <w:rPr>
          <w:lang w:eastAsia="en-US"/>
        </w:rPr>
      </w:pPr>
      <w:r>
        <w:rPr>
          <w:lang w:eastAsia="en-US"/>
        </w:rPr>
        <w:t>1</w:t>
      </w:r>
      <w:r>
        <w:rPr>
          <w:lang w:val="pt-BR" w:eastAsia="en-US"/>
        </w:rPr>
        <w:t>6</w:t>
      </w:r>
      <w:r>
        <w:rPr>
          <w:lang w:eastAsia="en-US"/>
        </w:rPr>
        <w:t>.</w:t>
      </w:r>
      <w:r>
        <w:rPr>
          <w:lang w:val="pt-BR" w:eastAsia="en-US"/>
        </w:rPr>
        <w:t>9</w:t>
      </w:r>
      <w:r>
        <w:rPr>
          <w:lang w:eastAsia="en-US"/>
        </w:rPr>
        <w:t xml:space="preserve"> Em caso de indício de irregularidade no recolhimento das contribuições previdenciárias, os fiscais ou gestores do contrato deverão oficiar à Receita Federal do Brasil (RFB). </w:t>
      </w:r>
    </w:p>
    <w:p>
      <w:pPr>
        <w:jc w:val="both"/>
        <w:rPr>
          <w:lang w:eastAsia="en-US"/>
        </w:rPr>
      </w:pPr>
    </w:p>
    <w:p>
      <w:pPr>
        <w:jc w:val="both"/>
        <w:rPr>
          <w:lang w:eastAsia="en-US"/>
        </w:rPr>
      </w:pPr>
      <w:r>
        <w:rPr>
          <w:lang w:eastAsia="en-US"/>
        </w:rPr>
        <w:t>1</w:t>
      </w:r>
      <w:r>
        <w:rPr>
          <w:lang w:val="pt-BR" w:eastAsia="en-US"/>
        </w:rPr>
        <w:t>6</w:t>
      </w:r>
      <w:r>
        <w:rPr>
          <w:lang w:eastAsia="en-US"/>
        </w:rPr>
        <w:t>.</w:t>
      </w:r>
      <w:r>
        <w:rPr>
          <w:lang w:val="pt-BR" w:eastAsia="en-US"/>
        </w:rPr>
        <w:t>10</w:t>
      </w:r>
      <w:r>
        <w:rPr>
          <w:lang w:eastAsia="en-US"/>
        </w:rPr>
        <w:t xml:space="preserve"> Em caso de indício de irregularidade no recolhimento da contribuição para o FGTS, os fiscais ou gestores do contrato deverão oficiar ao Ministério do Trabalho. </w:t>
      </w:r>
    </w:p>
    <w:p>
      <w:pPr>
        <w:jc w:val="both"/>
        <w:rPr>
          <w:lang w:eastAsia="en-US"/>
        </w:rPr>
      </w:pPr>
    </w:p>
    <w:p>
      <w:pPr>
        <w:jc w:val="both"/>
        <w:rPr>
          <w:lang w:eastAsia="en-US"/>
        </w:rPr>
      </w:pPr>
      <w:r>
        <w:rPr>
          <w:lang w:eastAsia="en-US"/>
        </w:rPr>
        <w:t>1</w:t>
      </w:r>
      <w:r>
        <w:rPr>
          <w:lang w:val="pt-BR" w:eastAsia="en-US"/>
        </w:rPr>
        <w:t>6</w:t>
      </w:r>
      <w:r>
        <w:rPr>
          <w:lang w:eastAsia="en-US"/>
        </w:rPr>
        <w:t>.1</w:t>
      </w:r>
      <w:r>
        <w:rPr>
          <w:lang w:val="pt-BR" w:eastAsia="en-US"/>
        </w:rPr>
        <w:t>1</w:t>
      </w:r>
      <w:r>
        <w:rPr>
          <w:lang w:eastAsia="en-US"/>
        </w:rPr>
        <w:t xml:space="preserve"> O descumprimento das obrigações trabalhistas ou a não manutenção das condições de habilitação pela CONTRATADA poderá dar ensejo à rescisão contratual, sem prejuízo das demais sanções. </w:t>
      </w:r>
    </w:p>
    <w:p>
      <w:pPr>
        <w:jc w:val="both"/>
        <w:rPr>
          <w:lang w:eastAsia="en-US"/>
        </w:rPr>
      </w:pPr>
    </w:p>
    <w:p>
      <w:pPr>
        <w:jc w:val="both"/>
        <w:rPr>
          <w:lang w:eastAsia="en-US"/>
        </w:rPr>
      </w:pPr>
      <w:r>
        <w:rPr>
          <w:lang w:eastAsia="en-US"/>
        </w:rPr>
        <w:t>1</w:t>
      </w:r>
      <w:r>
        <w:rPr>
          <w:lang w:val="pt-BR" w:eastAsia="en-US"/>
        </w:rPr>
        <w:t>6</w:t>
      </w:r>
      <w:r>
        <w:rPr>
          <w:lang w:eastAsia="en-US"/>
        </w:rPr>
        <w:t>.1</w:t>
      </w:r>
      <w:r>
        <w:rPr>
          <w:lang w:val="pt-BR" w:eastAsia="en-US"/>
        </w:rPr>
        <w:t>2</w:t>
      </w:r>
      <w:r>
        <w:rPr>
          <w:lang w:eastAsia="en-US"/>
        </w:rPr>
        <w:t xml:space="preserve"> A CONTRATANTE poderá conceder prazo para que a CONTRATADA regularize suas obrigações trabalhistas ou suas condições de habilitação, sob pena de rescisão contratual, quando não identificar má-fé ou a incapacidade de correção. </w:t>
      </w:r>
    </w:p>
    <w:p>
      <w:pPr>
        <w:jc w:val="both"/>
        <w:rPr>
          <w:lang w:eastAsia="en-US"/>
        </w:rPr>
      </w:pPr>
    </w:p>
    <w:p>
      <w:pPr>
        <w:jc w:val="both"/>
        <w:rPr>
          <w:lang w:eastAsia="en-US"/>
        </w:rPr>
      </w:pPr>
      <w:r>
        <w:rPr>
          <w:lang w:eastAsia="en-US"/>
        </w:rPr>
        <w:t>1</w:t>
      </w:r>
      <w:r>
        <w:rPr>
          <w:lang w:val="pt-BR" w:eastAsia="en-US"/>
        </w:rPr>
        <w:t>6</w:t>
      </w:r>
      <w:r>
        <w:rPr>
          <w:lang w:eastAsia="en-US"/>
        </w:rPr>
        <w:t>.1</w:t>
      </w:r>
      <w:r>
        <w:rPr>
          <w:lang w:val="pt-BR" w:eastAsia="en-US"/>
        </w:rPr>
        <w:t>3</w:t>
      </w:r>
      <w:r>
        <w:rPr>
          <w:lang w:eastAsia="en-US"/>
        </w:rPr>
        <w:t xml:space="preserve"> Além das disposições acima citadas, a fiscalização administrativa observará, ainda, as seguintes diretrizes: </w:t>
      </w:r>
    </w:p>
    <w:p>
      <w:pPr>
        <w:jc w:val="both"/>
        <w:rPr>
          <w:lang w:eastAsia="en-US"/>
        </w:rPr>
      </w:pPr>
    </w:p>
    <w:p>
      <w:pPr>
        <w:jc w:val="both"/>
        <w:rPr>
          <w:lang w:eastAsia="en-US"/>
        </w:rPr>
      </w:pPr>
      <w:r>
        <w:rPr>
          <w:lang w:eastAsia="en-US"/>
        </w:rPr>
        <w:t>1</w:t>
      </w:r>
      <w:r>
        <w:rPr>
          <w:lang w:val="pt-BR" w:eastAsia="en-US"/>
        </w:rPr>
        <w:t>6</w:t>
      </w:r>
      <w:r>
        <w:rPr>
          <w:lang w:eastAsia="en-US"/>
        </w:rPr>
        <w:t>.1</w:t>
      </w:r>
      <w:r>
        <w:rPr>
          <w:lang w:val="pt-BR" w:eastAsia="en-US"/>
        </w:rPr>
        <w:t>3</w:t>
      </w:r>
      <w:r>
        <w:rPr>
          <w:lang w:eastAsia="en-US"/>
        </w:rPr>
        <w:t>.1  Fiscalização inicial (no momento em que a prestação de serviços é iniciada):</w:t>
      </w:r>
    </w:p>
    <w:p>
      <w:pPr>
        <w:jc w:val="both"/>
        <w:rPr>
          <w:lang w:eastAsia="en-US"/>
        </w:rPr>
      </w:pPr>
    </w:p>
    <w:p>
      <w:pPr>
        <w:jc w:val="both"/>
        <w:rPr>
          <w:lang w:eastAsia="en-US"/>
        </w:rPr>
      </w:pPr>
      <w:r>
        <w:rPr>
          <w:lang w:eastAsia="en-US"/>
        </w:rPr>
        <w:t>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pPr>
        <w:jc w:val="both"/>
        <w:rPr>
          <w:lang w:eastAsia="en-US"/>
        </w:rPr>
      </w:pPr>
    </w:p>
    <w:p>
      <w:pPr>
        <w:jc w:val="both"/>
        <w:rPr>
          <w:lang w:eastAsia="en-US"/>
        </w:rPr>
      </w:pPr>
      <w:r>
        <w:rPr>
          <w:lang w:eastAsia="en-US"/>
        </w:rPr>
        <w:t>b) Todas as anotações contidas na CTPS dos empregados serão conferidas, a fim de que se possa verificar se as informações nelas inseridas coincidem com as informações fornecidas pela CONTRATADA e pelo empregado;</w:t>
      </w:r>
    </w:p>
    <w:p>
      <w:pPr>
        <w:jc w:val="both"/>
        <w:rPr>
          <w:lang w:eastAsia="en-US"/>
        </w:rPr>
      </w:pPr>
    </w:p>
    <w:p>
      <w:pPr>
        <w:jc w:val="both"/>
        <w:rPr>
          <w:lang w:eastAsia="en-US"/>
        </w:rPr>
      </w:pPr>
      <w:r>
        <w:rPr>
          <w:lang w:eastAsia="en-US"/>
        </w:rPr>
        <w:t>c) O número de terceirizados por função deve coincidir com o previsto no contrato administrativo;</w:t>
      </w:r>
    </w:p>
    <w:p>
      <w:pPr>
        <w:jc w:val="both"/>
        <w:rPr>
          <w:lang w:eastAsia="en-US"/>
        </w:rPr>
      </w:pPr>
    </w:p>
    <w:p>
      <w:pPr>
        <w:jc w:val="both"/>
        <w:rPr>
          <w:lang w:eastAsia="en-US"/>
        </w:rPr>
      </w:pPr>
      <w:r>
        <w:rPr>
          <w:lang w:eastAsia="en-US"/>
        </w:rPr>
        <w:t>d) O salário não pode ser inferior ao previsto no contrato administrativo e na Convenção Coletiva de Trabalho da Categoria (CCT);</w:t>
      </w:r>
    </w:p>
    <w:p>
      <w:pPr>
        <w:jc w:val="both"/>
        <w:rPr>
          <w:lang w:eastAsia="en-US"/>
        </w:rPr>
      </w:pPr>
    </w:p>
    <w:p>
      <w:pPr>
        <w:jc w:val="both"/>
        <w:rPr>
          <w:lang w:eastAsia="en-US"/>
        </w:rPr>
      </w:pPr>
      <w:r>
        <w:rPr>
          <w:lang w:eastAsia="en-US"/>
        </w:rPr>
        <w:t>e) Serão consultadas eventuais obrigações adicionais constantes na CCT para a CONTRATADA;</w:t>
      </w:r>
    </w:p>
    <w:p>
      <w:pPr>
        <w:jc w:val="both"/>
        <w:rPr>
          <w:lang w:eastAsia="en-US"/>
        </w:rPr>
      </w:pPr>
    </w:p>
    <w:p>
      <w:pPr>
        <w:jc w:val="both"/>
        <w:rPr>
          <w:lang w:eastAsia="en-US"/>
        </w:rPr>
      </w:pPr>
      <w:r>
        <w:rPr>
          <w:lang w:eastAsia="en-US"/>
        </w:rPr>
        <w:t>f) Será verificada a existência de condições insalubres ou de periculosidade no local de trabalho que obriguem a empresa a fornecer determinados Equipamentos de Proteção Individual (EPI).</w:t>
      </w:r>
    </w:p>
    <w:p>
      <w:pPr>
        <w:jc w:val="both"/>
        <w:rPr>
          <w:lang w:eastAsia="en-US"/>
        </w:rPr>
      </w:pPr>
    </w:p>
    <w:p>
      <w:pPr>
        <w:jc w:val="both"/>
        <w:rPr>
          <w:lang w:eastAsia="en-US"/>
        </w:rPr>
      </w:pPr>
      <w:r>
        <w:rPr>
          <w:lang w:eastAsia="en-US"/>
        </w:rPr>
        <w:t>g) No primeiro mês da prestação dos serviços, a contratada deverá apresentar a seguinte documentação:</w:t>
      </w:r>
    </w:p>
    <w:p>
      <w:pPr>
        <w:jc w:val="both"/>
        <w:rPr>
          <w:lang w:eastAsia="en-US"/>
        </w:rPr>
      </w:pPr>
    </w:p>
    <w:p>
      <w:pPr>
        <w:jc w:val="both"/>
        <w:rPr>
          <w:lang w:eastAsia="en-US"/>
        </w:rPr>
      </w:pPr>
      <w:r>
        <w:rPr>
          <w:lang w:eastAsia="en-US"/>
        </w:rPr>
        <w:t>g.1. relação dos empregados, com nome completo, cargo ou função, horário do posto de trabalho, números da carteira de identidade (RG) e inscrição no Cadastro de Pessoas Físicas (CPF), e indicação dos responsáveis técnicos pela execução dos serviços, quando for o caso;</w:t>
      </w:r>
    </w:p>
    <w:p>
      <w:pPr>
        <w:jc w:val="both"/>
        <w:rPr>
          <w:lang w:eastAsia="en-US"/>
        </w:rPr>
      </w:pPr>
    </w:p>
    <w:p>
      <w:pPr>
        <w:jc w:val="both"/>
        <w:rPr>
          <w:lang w:eastAsia="en-US"/>
        </w:rPr>
      </w:pPr>
      <w:r>
        <w:rPr>
          <w:lang w:eastAsia="en-US"/>
        </w:rPr>
        <w:t>g.2. CTPS dos empregados admitidos e dos responsáveis técnicos pela execução dos serviços, quando for o caso, devidamente assinadas pela contratada;</w:t>
      </w:r>
    </w:p>
    <w:p>
      <w:pPr>
        <w:jc w:val="both"/>
        <w:rPr>
          <w:lang w:eastAsia="en-US"/>
        </w:rPr>
      </w:pPr>
    </w:p>
    <w:p>
      <w:pPr>
        <w:jc w:val="both"/>
        <w:rPr>
          <w:lang w:eastAsia="en-US"/>
        </w:rPr>
      </w:pPr>
      <w:r>
        <w:rPr>
          <w:lang w:eastAsia="en-US"/>
        </w:rPr>
        <w:t>g.3. exames médicos admissionais dos empregados da contratada que prestarão os serviços; e</w:t>
      </w:r>
    </w:p>
    <w:p>
      <w:pPr>
        <w:jc w:val="both"/>
        <w:rPr>
          <w:lang w:eastAsia="en-US"/>
        </w:rPr>
      </w:pPr>
    </w:p>
    <w:p>
      <w:pPr>
        <w:jc w:val="both"/>
        <w:rPr>
          <w:lang w:eastAsia="en-US"/>
        </w:rPr>
      </w:pPr>
      <w:r>
        <w:rPr>
          <w:lang w:eastAsia="en-US"/>
        </w:rPr>
        <w:t>g.4. declaração de responsabilidade exclusiva da contratada sobre a quitação dos encargos trabalhistas e sociais decorrentes do contrato.</w:t>
      </w:r>
    </w:p>
    <w:p>
      <w:pPr>
        <w:jc w:val="both"/>
        <w:rPr>
          <w:lang w:eastAsia="en-US"/>
        </w:rPr>
      </w:pPr>
    </w:p>
    <w:p>
      <w:pPr>
        <w:jc w:val="both"/>
        <w:rPr>
          <w:lang w:eastAsia="en-US"/>
        </w:rPr>
      </w:pPr>
      <w:r>
        <w:rPr>
          <w:lang w:eastAsia="en-US"/>
        </w:rPr>
        <w:t>1</w:t>
      </w:r>
      <w:r>
        <w:rPr>
          <w:lang w:val="pt-BR" w:eastAsia="en-US"/>
        </w:rPr>
        <w:t>6</w:t>
      </w:r>
      <w:r>
        <w:rPr>
          <w:lang w:eastAsia="en-US"/>
        </w:rPr>
        <w:t>.14.2  Fiscalização mensal (a ser feita antes do pagamento da fatura):</w:t>
      </w:r>
    </w:p>
    <w:p>
      <w:pPr>
        <w:jc w:val="both"/>
        <w:rPr>
          <w:lang w:eastAsia="en-US"/>
        </w:rPr>
      </w:pPr>
    </w:p>
    <w:p>
      <w:pPr>
        <w:jc w:val="both"/>
        <w:rPr>
          <w:lang w:eastAsia="en-US"/>
        </w:rPr>
      </w:pPr>
      <w:r>
        <w:rPr>
          <w:lang w:eastAsia="en-US"/>
        </w:rPr>
        <w:t>a) Deve ser feita a retenção da contribuição previdenciária no valor de 11% (onze por cento) sobre o valor da fatura e dos impostos incidentes sobre a prestação do serviço;</w:t>
      </w:r>
    </w:p>
    <w:p>
      <w:pPr>
        <w:jc w:val="both"/>
        <w:rPr>
          <w:lang w:eastAsia="en-US"/>
        </w:rPr>
      </w:pPr>
    </w:p>
    <w:p>
      <w:pPr>
        <w:jc w:val="both"/>
        <w:rPr>
          <w:lang w:eastAsia="en-US"/>
        </w:rPr>
      </w:pPr>
      <w:r>
        <w:rPr>
          <w:lang w:eastAsia="en-US"/>
        </w:rPr>
        <w:t>b) Deve ser consultada a situação da empresa junto ao SICAF;</w:t>
      </w:r>
    </w:p>
    <w:p>
      <w:pPr>
        <w:jc w:val="both"/>
        <w:rPr>
          <w:lang w:eastAsia="en-US"/>
        </w:rPr>
      </w:pPr>
    </w:p>
    <w:p>
      <w:pPr>
        <w:jc w:val="both"/>
        <w:rPr>
          <w:lang w:eastAsia="en-US"/>
        </w:rPr>
      </w:pPr>
      <w:r>
        <w:rPr>
          <w:lang w:eastAsia="en-US"/>
        </w:rPr>
        <w:t>c)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pPr>
        <w:jc w:val="both"/>
        <w:rPr>
          <w:lang w:eastAsia="en-US"/>
        </w:rPr>
      </w:pPr>
    </w:p>
    <w:p>
      <w:pPr>
        <w:jc w:val="both"/>
        <w:rPr>
          <w:lang w:eastAsia="en-US"/>
        </w:rPr>
      </w:pPr>
      <w:r>
        <w:rPr>
          <w:lang w:eastAsia="en-US"/>
        </w:rPr>
        <w:t>d) Deverá ser exigida, quando couber, comprovação de que a empresa mantém reserva de cargos para pessoa com deficiência ou para reabilitado da Previdência Social, conforme disposto no art. 66-A da Lei nº 8.666, de 1993.</w:t>
      </w:r>
    </w:p>
    <w:p>
      <w:pPr>
        <w:jc w:val="both"/>
        <w:rPr>
          <w:lang w:eastAsia="en-US"/>
        </w:rPr>
      </w:pPr>
    </w:p>
    <w:p>
      <w:pPr>
        <w:jc w:val="both"/>
        <w:rPr>
          <w:lang w:eastAsia="en-US"/>
        </w:rPr>
      </w:pPr>
      <w:r>
        <w:rPr>
          <w:lang w:eastAsia="en-US"/>
        </w:rPr>
        <w:t>1</w:t>
      </w:r>
      <w:r>
        <w:rPr>
          <w:lang w:val="pt-BR" w:eastAsia="en-US"/>
        </w:rPr>
        <w:t>6</w:t>
      </w:r>
      <w:r>
        <w:rPr>
          <w:lang w:eastAsia="en-US"/>
        </w:rPr>
        <w:t>.14.3. Fiscalização diária:</w:t>
      </w:r>
    </w:p>
    <w:p>
      <w:pPr>
        <w:jc w:val="both"/>
        <w:rPr>
          <w:lang w:eastAsia="en-US"/>
        </w:rPr>
      </w:pPr>
    </w:p>
    <w:p>
      <w:pPr>
        <w:jc w:val="both"/>
        <w:rPr>
          <w:lang w:eastAsia="en-US"/>
        </w:rPr>
      </w:pPr>
      <w:r>
        <w:rPr>
          <w:lang w:eastAsia="en-US"/>
        </w:rPr>
        <w:t>a)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pPr>
        <w:jc w:val="both"/>
        <w:rPr>
          <w:lang w:eastAsia="en-US"/>
        </w:rPr>
      </w:pPr>
    </w:p>
    <w:p>
      <w:pPr>
        <w:jc w:val="both"/>
        <w:rPr>
          <w:lang w:eastAsia="en-US"/>
        </w:rPr>
      </w:pPr>
      <w:r>
        <w:rPr>
          <w:lang w:eastAsia="en-US"/>
        </w:rPr>
        <w:t>b) Toda e qualquer alteração na forma de prestação do serviço, como a negociação de folgas ou a compensação de jornada, deve ser evitada, uma vez que essa conduta é exclusiva da CONTRATADA.</w:t>
      </w:r>
    </w:p>
    <w:p>
      <w:pPr>
        <w:jc w:val="both"/>
        <w:rPr>
          <w:lang w:eastAsia="en-US"/>
        </w:rPr>
      </w:pPr>
    </w:p>
    <w:p>
      <w:pPr>
        <w:jc w:val="both"/>
        <w:rPr>
          <w:lang w:eastAsia="en-US"/>
        </w:rPr>
      </w:pPr>
      <w:r>
        <w:rPr>
          <w:lang w:eastAsia="en-US"/>
        </w:rPr>
        <w:t>c) Devem ser conferidos, por amostragem, diariamente, os empregados terceirizados que estão prestando serviços e em quais funções, e se estão cumprindo a jornada de trabalho.</w:t>
      </w:r>
    </w:p>
    <w:p>
      <w:pPr>
        <w:jc w:val="both"/>
        <w:rPr>
          <w:lang w:eastAsia="en-US"/>
        </w:rPr>
      </w:pPr>
    </w:p>
    <w:p>
      <w:pPr>
        <w:jc w:val="both"/>
        <w:rPr>
          <w:lang w:eastAsia="en-US"/>
        </w:rPr>
      </w:pPr>
      <w:r>
        <w:rPr>
          <w:lang w:eastAsia="en-US"/>
        </w:rPr>
        <w:t>1</w:t>
      </w:r>
      <w:r>
        <w:rPr>
          <w:lang w:val="pt-BR" w:eastAsia="en-US"/>
        </w:rPr>
        <w:t>6</w:t>
      </w:r>
      <w:r>
        <w:rPr>
          <w:lang w:eastAsia="en-US"/>
        </w:rPr>
        <w:t>.15 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pPr>
        <w:jc w:val="both"/>
        <w:rPr>
          <w:lang w:eastAsia="en-US"/>
        </w:rPr>
      </w:pPr>
    </w:p>
    <w:p>
      <w:pPr>
        <w:jc w:val="both"/>
        <w:rPr>
          <w:lang w:eastAsia="en-US"/>
        </w:rPr>
      </w:pPr>
      <w:r>
        <w:rPr>
          <w:lang w:eastAsia="en-US"/>
        </w:rPr>
        <w:t>1</w:t>
      </w:r>
      <w:r>
        <w:rPr>
          <w:lang w:val="pt-BR" w:eastAsia="en-US"/>
        </w:rPr>
        <w:t>6</w:t>
      </w:r>
      <w:r>
        <w:rPr>
          <w:lang w:eastAsia="en-US"/>
        </w:rPr>
        <w:t>.15.1 O gestor deverá verificar a necessidade de se proceder a repactuação do contrato, inclusive quanto à necessidade de solicitação da contratada.</w:t>
      </w:r>
    </w:p>
    <w:p>
      <w:pPr>
        <w:jc w:val="both"/>
        <w:rPr>
          <w:lang w:eastAsia="en-US"/>
        </w:rPr>
      </w:pPr>
    </w:p>
    <w:p>
      <w:pPr>
        <w:jc w:val="both"/>
        <w:rPr>
          <w:lang w:eastAsia="en-US"/>
        </w:rPr>
      </w:pPr>
      <w:r>
        <w:rPr>
          <w:lang w:eastAsia="en-US"/>
        </w:rPr>
        <w:t>1</w:t>
      </w:r>
      <w:r>
        <w:rPr>
          <w:lang w:val="pt-BR" w:eastAsia="en-US"/>
        </w:rPr>
        <w:t>6</w:t>
      </w:r>
      <w:r>
        <w:rPr>
          <w:lang w:eastAsia="en-US"/>
        </w:rPr>
        <w:t>.16 A CONTRATANTE deverá solicitar, por amostragem, aos empregados, seus extratos da conta do FGTS e que verifiquem se as contribuições previdenciárias e do FGTS estão sendo recolhidas em seus nomes.</w:t>
      </w:r>
    </w:p>
    <w:p>
      <w:pPr>
        <w:jc w:val="both"/>
        <w:rPr>
          <w:lang w:eastAsia="en-US"/>
        </w:rPr>
      </w:pPr>
    </w:p>
    <w:p>
      <w:pPr>
        <w:jc w:val="both"/>
        <w:rPr>
          <w:lang w:eastAsia="en-US"/>
        </w:rPr>
      </w:pPr>
      <w:r>
        <w:rPr>
          <w:lang w:eastAsia="en-US"/>
        </w:rPr>
        <w:t>1</w:t>
      </w:r>
      <w:r>
        <w:rPr>
          <w:lang w:val="pt-BR" w:eastAsia="en-US"/>
        </w:rPr>
        <w:t>6</w:t>
      </w:r>
      <w:r>
        <w:rPr>
          <w:lang w:eastAsia="en-US"/>
        </w:rPr>
        <w:t>.16.1 Ao final de um ano, todos os empregados devem ter seus extratos avaliados.</w:t>
      </w:r>
    </w:p>
    <w:p>
      <w:pPr>
        <w:jc w:val="both"/>
        <w:rPr>
          <w:lang w:eastAsia="en-US"/>
        </w:rPr>
      </w:pPr>
    </w:p>
    <w:p>
      <w:pPr>
        <w:jc w:val="both"/>
        <w:rPr>
          <w:lang w:eastAsia="en-US"/>
        </w:rPr>
      </w:pPr>
      <w:r>
        <w:rPr>
          <w:lang w:eastAsia="en-US"/>
        </w:rPr>
        <w:t>1</w:t>
      </w:r>
      <w:r>
        <w:rPr>
          <w:lang w:val="pt-BR" w:eastAsia="en-US"/>
        </w:rPr>
        <w:t>6</w:t>
      </w:r>
      <w:r>
        <w:rPr>
          <w:lang w:eastAsia="en-US"/>
        </w:rPr>
        <w:t>.17 A CONTRATADA deverá entregar, no prazo de 15 (quinze) dias, quando solicitado pela CONTRATANTE quaisquer dos seguintes documentos:</w:t>
      </w:r>
    </w:p>
    <w:p>
      <w:pPr>
        <w:jc w:val="both"/>
        <w:rPr>
          <w:lang w:eastAsia="en-US"/>
        </w:rPr>
      </w:pPr>
    </w:p>
    <w:p>
      <w:pPr>
        <w:jc w:val="both"/>
        <w:rPr>
          <w:lang w:eastAsia="en-US"/>
        </w:rPr>
      </w:pPr>
      <w:r>
        <w:rPr>
          <w:lang w:eastAsia="en-US"/>
        </w:rPr>
        <w:t>a) extrato da conta do INSS e do FGTS de qualquer empregado, a critério da CONTRATANTE;</w:t>
      </w:r>
    </w:p>
    <w:p>
      <w:pPr>
        <w:jc w:val="both"/>
        <w:rPr>
          <w:lang w:eastAsia="en-US"/>
        </w:rPr>
      </w:pPr>
    </w:p>
    <w:p>
      <w:pPr>
        <w:jc w:val="both"/>
        <w:rPr>
          <w:lang w:eastAsia="en-US"/>
        </w:rPr>
      </w:pPr>
      <w:r>
        <w:rPr>
          <w:lang w:eastAsia="en-US"/>
        </w:rPr>
        <w:t>b) cópia da folha de pagamento analítica de qualquer mês da prestação dos serviços, em que conste como tomador a CONTRATANTE;</w:t>
      </w:r>
    </w:p>
    <w:p>
      <w:pPr>
        <w:jc w:val="both"/>
        <w:rPr>
          <w:lang w:eastAsia="en-US"/>
        </w:rPr>
      </w:pPr>
    </w:p>
    <w:p>
      <w:pPr>
        <w:jc w:val="both"/>
        <w:rPr>
          <w:lang w:eastAsia="en-US"/>
        </w:rPr>
      </w:pPr>
      <w:r>
        <w:rPr>
          <w:lang w:eastAsia="en-US"/>
        </w:rPr>
        <w:t>c) cópia dos contracheques assinados dos empregados relativos a qualquer mês da prestação dos serviços ou, ainda, quando necessário, cópia de recibos de depósitos bancários; e</w:t>
      </w:r>
    </w:p>
    <w:p>
      <w:pPr>
        <w:jc w:val="both"/>
        <w:rPr>
          <w:lang w:eastAsia="en-US"/>
        </w:rPr>
      </w:pPr>
    </w:p>
    <w:p>
      <w:pPr>
        <w:jc w:val="both"/>
        <w:rPr>
          <w:lang w:eastAsia="en-US"/>
        </w:rPr>
      </w:pPr>
      <w:r>
        <w:rPr>
          <w:lang w:eastAsia="en-US"/>
        </w:rPr>
        <w:t>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pPr>
        <w:jc w:val="both"/>
        <w:rPr>
          <w:lang w:eastAsia="en-US"/>
        </w:rPr>
      </w:pPr>
    </w:p>
    <w:p>
      <w:pPr>
        <w:jc w:val="both"/>
        <w:rPr>
          <w:lang w:eastAsia="en-US"/>
        </w:rPr>
      </w:pPr>
      <w:r>
        <w:rPr>
          <w:lang w:eastAsia="en-US"/>
        </w:rPr>
        <w:t>1</w:t>
      </w:r>
      <w:r>
        <w:rPr>
          <w:lang w:val="pt-BR" w:eastAsia="en-US"/>
        </w:rPr>
        <w:t>6</w:t>
      </w:r>
      <w:r>
        <w:rPr>
          <w:lang w:eastAsia="en-US"/>
        </w:rPr>
        <w:t>.18 A fiscalização técnica dos contratos avaliará constantemente a execução do objeto e utilizará o Instrumento de Medição de Resultado (IMR), conforme modelo previsto no Anexo XXX, ou outro instrumento substituto para aferição da qualidade da prestação dos serviços, devendo haver o redimensionamento no pagamento com base nos indicadores estabelecidos, sempre que a CONTRATADA:</w:t>
      </w:r>
    </w:p>
    <w:p>
      <w:pPr>
        <w:jc w:val="both"/>
        <w:rPr>
          <w:lang w:eastAsia="en-US"/>
        </w:rPr>
      </w:pPr>
    </w:p>
    <w:p>
      <w:pPr>
        <w:jc w:val="both"/>
        <w:rPr>
          <w:lang w:eastAsia="en-US"/>
        </w:rPr>
      </w:pPr>
      <w:r>
        <w:rPr>
          <w:lang w:eastAsia="en-US"/>
        </w:rPr>
        <w:t>a) não produzir os resultados, deixar de executar, ou não executar com a qualidade mínima exigida as atividades contratadas; ou</w:t>
      </w:r>
    </w:p>
    <w:p>
      <w:pPr>
        <w:jc w:val="both"/>
        <w:rPr>
          <w:lang w:eastAsia="en-US"/>
        </w:rPr>
      </w:pPr>
    </w:p>
    <w:p>
      <w:pPr>
        <w:jc w:val="both"/>
        <w:rPr>
          <w:lang w:eastAsia="en-US"/>
        </w:rPr>
      </w:pPr>
      <w:r>
        <w:rPr>
          <w:lang w:eastAsia="en-US"/>
        </w:rPr>
        <w:t>b) deixar de utilizar materiais e recursos humanos exigidos para a execução do serviço, ou utilizá-los com qualidade ou quantidade inferior à demandada.</w:t>
      </w:r>
    </w:p>
    <w:p>
      <w:pPr>
        <w:jc w:val="both"/>
        <w:rPr>
          <w:lang w:eastAsia="en-US"/>
        </w:rPr>
      </w:pPr>
    </w:p>
    <w:p>
      <w:pPr>
        <w:jc w:val="both"/>
        <w:rPr>
          <w:lang w:eastAsia="en-US"/>
        </w:rPr>
      </w:pPr>
      <w:r>
        <w:rPr>
          <w:lang w:eastAsia="en-US"/>
        </w:rPr>
        <w:t>1</w:t>
      </w:r>
      <w:r>
        <w:rPr>
          <w:lang w:val="pt-BR" w:eastAsia="en-US"/>
        </w:rPr>
        <w:t>6</w:t>
      </w:r>
      <w:r>
        <w:rPr>
          <w:lang w:eastAsia="en-US"/>
        </w:rPr>
        <w:t>.18.1 A utilização do IMR não impede a aplicação concomitante de outros mecanismos para a avaliação da prestação dos serviços.</w:t>
      </w:r>
    </w:p>
    <w:p>
      <w:pPr>
        <w:jc w:val="both"/>
        <w:rPr>
          <w:lang w:eastAsia="en-US"/>
        </w:rPr>
      </w:pPr>
    </w:p>
    <w:p>
      <w:pPr>
        <w:jc w:val="both"/>
        <w:rPr>
          <w:lang w:eastAsia="en-US"/>
        </w:rPr>
      </w:pPr>
      <w:r>
        <w:rPr>
          <w:lang w:eastAsia="en-US"/>
        </w:rPr>
        <w:t>1</w:t>
      </w:r>
      <w:r>
        <w:rPr>
          <w:lang w:val="pt-BR" w:eastAsia="en-US"/>
        </w:rPr>
        <w:t>6</w:t>
      </w:r>
      <w:r>
        <w:rPr>
          <w:lang w:eastAsia="en-US"/>
        </w:rPr>
        <w:t xml:space="preserve">.19. Durante a execução do objeto, o fiscal técnico deverá monitorar constantemente o nível de qualidade dos serviços para evitar a sua degeneração, devendo intervir para requerer à CONTRATADA a correção das faltas, falhas e irregularidades constatadas. </w:t>
      </w:r>
    </w:p>
    <w:p>
      <w:pPr>
        <w:jc w:val="both"/>
        <w:rPr>
          <w:lang w:eastAsia="en-US"/>
        </w:rPr>
      </w:pPr>
    </w:p>
    <w:p>
      <w:pPr>
        <w:jc w:val="both"/>
        <w:rPr>
          <w:lang w:eastAsia="en-US"/>
        </w:rPr>
      </w:pPr>
      <w:r>
        <w:rPr>
          <w:lang w:eastAsia="en-US"/>
        </w:rPr>
        <w:t>1</w:t>
      </w:r>
      <w:r>
        <w:rPr>
          <w:lang w:val="pt-BR" w:eastAsia="en-US"/>
        </w:rPr>
        <w:t>6</w:t>
      </w:r>
      <w:r>
        <w:rPr>
          <w:lang w:eastAsia="en-US"/>
        </w:rPr>
        <w:t xml:space="preserve">.20. O fiscal técnico deverá apresentar ao preposto da CONTRATADA a avaliação da execução do objeto ou, se for o caso, a avaliação de desempenho e qualidade da prestação dos serviços realizada. </w:t>
      </w:r>
    </w:p>
    <w:p>
      <w:pPr>
        <w:jc w:val="both"/>
        <w:rPr>
          <w:lang w:eastAsia="en-US"/>
        </w:rPr>
      </w:pPr>
    </w:p>
    <w:p>
      <w:pPr>
        <w:jc w:val="both"/>
        <w:rPr>
          <w:lang w:eastAsia="en-US"/>
        </w:rPr>
      </w:pPr>
      <w:r>
        <w:rPr>
          <w:lang w:eastAsia="en-US"/>
        </w:rPr>
        <w:t>1</w:t>
      </w:r>
      <w:r>
        <w:rPr>
          <w:lang w:val="pt-BR" w:eastAsia="en-US"/>
        </w:rPr>
        <w:t>6</w:t>
      </w:r>
      <w:r>
        <w:rPr>
          <w:lang w:eastAsia="en-US"/>
        </w:rPr>
        <w:t xml:space="preserve">.20.1. Em hipótese alguma, será admitido que a própria CONTRATADA materialize a avaliação de desempenho e qualidade da prestação dos serviços realizada. </w:t>
      </w:r>
    </w:p>
    <w:p>
      <w:pPr>
        <w:jc w:val="both"/>
        <w:rPr>
          <w:lang w:eastAsia="en-US"/>
        </w:rPr>
      </w:pPr>
    </w:p>
    <w:p>
      <w:pPr>
        <w:jc w:val="both"/>
        <w:rPr>
          <w:lang w:eastAsia="en-US"/>
        </w:rPr>
      </w:pPr>
      <w:r>
        <w:rPr>
          <w:lang w:eastAsia="en-US"/>
        </w:rPr>
        <w:t>1</w:t>
      </w:r>
      <w:r>
        <w:rPr>
          <w:lang w:val="pt-BR" w:eastAsia="en-US"/>
        </w:rPr>
        <w:t>6</w:t>
      </w:r>
      <w:r>
        <w:rPr>
          <w:lang w:eastAsia="en-US"/>
        </w:rPr>
        <w:t xml:space="preserve">.21. 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pPr>
        <w:jc w:val="both"/>
        <w:rPr>
          <w:lang w:eastAsia="en-US"/>
        </w:rPr>
      </w:pPr>
    </w:p>
    <w:p>
      <w:pPr>
        <w:jc w:val="both"/>
        <w:rPr>
          <w:lang w:eastAsia="en-US"/>
        </w:rPr>
      </w:pPr>
      <w:r>
        <w:rPr>
          <w:lang w:eastAsia="en-US"/>
        </w:rPr>
        <w:t>1</w:t>
      </w:r>
      <w:r>
        <w:rPr>
          <w:lang w:val="pt-BR" w:eastAsia="en-US"/>
        </w:rPr>
        <w:t>6</w:t>
      </w:r>
      <w:r>
        <w:rPr>
          <w:lang w:eastAsia="en-US"/>
        </w:rPr>
        <w:t xml:space="preserve">.22. 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pPr>
        <w:jc w:val="both"/>
        <w:rPr>
          <w:lang w:eastAsia="en-US"/>
        </w:rPr>
      </w:pPr>
    </w:p>
    <w:p>
      <w:pPr>
        <w:jc w:val="both"/>
        <w:rPr>
          <w:lang w:eastAsia="en-US"/>
        </w:rPr>
      </w:pPr>
      <w:r>
        <w:rPr>
          <w:lang w:eastAsia="en-US"/>
        </w:rPr>
        <w:t>1</w:t>
      </w:r>
      <w:r>
        <w:rPr>
          <w:lang w:val="pt-BR" w:eastAsia="en-US"/>
        </w:rPr>
        <w:t>6</w:t>
      </w:r>
      <w:r>
        <w:rPr>
          <w:lang w:eastAsia="en-US"/>
        </w:rPr>
        <w:t xml:space="preserve">.23. O fiscal técnico poderá realizar avaliação diária, semanal ou mensal, desde que o período escolhido seja suficiente para avaliar ou, se for o caso, aferir o desempenho e qualidade da prestação dos serviços. </w:t>
      </w:r>
    </w:p>
    <w:p>
      <w:pPr>
        <w:jc w:val="both"/>
        <w:rPr>
          <w:lang w:eastAsia="en-US"/>
        </w:rPr>
      </w:pPr>
    </w:p>
    <w:p>
      <w:pPr>
        <w:jc w:val="both"/>
        <w:rPr>
          <w:lang w:eastAsia="en-US"/>
        </w:rPr>
      </w:pPr>
      <w:r>
        <w:rPr>
          <w:lang w:eastAsia="en-US"/>
        </w:rPr>
        <w:t>1</w:t>
      </w:r>
      <w:r>
        <w:rPr>
          <w:lang w:val="pt-BR" w:eastAsia="en-US"/>
        </w:rPr>
        <w:t>6</w:t>
      </w:r>
      <w:r>
        <w:rPr>
          <w:lang w:eastAsia="en-US"/>
        </w:rPr>
        <w:t xml:space="preserve">.24. O fiscal técnico,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pPr>
        <w:jc w:val="both"/>
        <w:rPr>
          <w:lang w:eastAsia="en-US"/>
        </w:rPr>
      </w:pPr>
    </w:p>
    <w:p>
      <w:pPr>
        <w:jc w:val="both"/>
        <w:rPr>
          <w:lang w:eastAsia="en-US"/>
        </w:rPr>
      </w:pPr>
      <w:r>
        <w:rPr>
          <w:lang w:eastAsia="en-US"/>
        </w:rPr>
        <w:t>1</w:t>
      </w:r>
      <w:r>
        <w:rPr>
          <w:lang w:val="pt-BR" w:eastAsia="en-US"/>
        </w:rPr>
        <w:t>6</w:t>
      </w:r>
      <w:r>
        <w:rPr>
          <w:lang w:eastAsia="en-US"/>
        </w:rPr>
        <w:t xml:space="preserve">.25. 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pPr>
        <w:jc w:val="both"/>
        <w:rPr>
          <w:lang w:eastAsia="en-US"/>
        </w:rPr>
      </w:pPr>
    </w:p>
    <w:p>
      <w:pPr>
        <w:jc w:val="both"/>
        <w:rPr>
          <w:lang w:eastAsia="en-US"/>
        </w:rPr>
      </w:pPr>
      <w:r>
        <w:rPr>
          <w:lang w:eastAsia="en-US"/>
        </w:rPr>
        <w:t>1</w:t>
      </w:r>
      <w:r>
        <w:rPr>
          <w:lang w:val="pt-BR" w:eastAsia="en-US"/>
        </w:rPr>
        <w:t>6</w:t>
      </w:r>
      <w:r>
        <w:rPr>
          <w:lang w:eastAsia="en-US"/>
        </w:rPr>
        <w:t xml:space="preserve">.26. O representante da CONTRATANTE deverá promover o registro das ocorrências verificadas, adotando as providências necessárias ao fiel cumprimento das cláusulas contratuais, conforme o disposto nos §§ 1º e 2º do art. 67 da Lei nº 8.666, de 1993. </w:t>
      </w:r>
    </w:p>
    <w:p>
      <w:pPr>
        <w:jc w:val="both"/>
        <w:rPr>
          <w:lang w:eastAsia="en-US"/>
        </w:rPr>
      </w:pPr>
    </w:p>
    <w:p>
      <w:pPr>
        <w:jc w:val="both"/>
        <w:rPr>
          <w:lang w:eastAsia="en-US"/>
        </w:rPr>
      </w:pPr>
      <w:r>
        <w:rPr>
          <w:lang w:eastAsia="en-US"/>
        </w:rPr>
        <w:t>1</w:t>
      </w:r>
      <w:r>
        <w:rPr>
          <w:lang w:val="pt-BR" w:eastAsia="en-US"/>
        </w:rPr>
        <w:t>6</w:t>
      </w:r>
      <w:r>
        <w:rPr>
          <w:lang w:eastAsia="en-US"/>
        </w:rPr>
        <w:t xml:space="preserve">.27. 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arts. 77 e 80 da Lei nº 8.666, de 1993. </w:t>
      </w:r>
    </w:p>
    <w:p>
      <w:pPr>
        <w:jc w:val="both"/>
        <w:rPr>
          <w:lang w:eastAsia="en-US"/>
        </w:rPr>
      </w:pPr>
    </w:p>
    <w:p>
      <w:pPr>
        <w:jc w:val="both"/>
        <w:rPr>
          <w:lang w:eastAsia="en-US"/>
        </w:rPr>
      </w:pPr>
      <w:r>
        <w:rPr>
          <w:lang w:eastAsia="en-US"/>
        </w:rPr>
        <w:t>1</w:t>
      </w:r>
      <w:r>
        <w:rPr>
          <w:lang w:val="pt-BR" w:eastAsia="en-US"/>
        </w:rPr>
        <w:t>6</w:t>
      </w:r>
      <w:r>
        <w:rPr>
          <w:lang w:eastAsia="en-US"/>
        </w:rPr>
        <w:t xml:space="preserve">.28. 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pPr>
        <w:jc w:val="both"/>
        <w:rPr>
          <w:lang w:eastAsia="en-US"/>
        </w:rPr>
      </w:pPr>
    </w:p>
    <w:p>
      <w:pPr>
        <w:jc w:val="both"/>
        <w:rPr>
          <w:lang w:eastAsia="en-US"/>
        </w:rPr>
      </w:pPr>
      <w:r>
        <w:rPr>
          <w:lang w:eastAsia="en-US"/>
        </w:rPr>
        <w:t>1</w:t>
      </w:r>
      <w:r>
        <w:rPr>
          <w:lang w:val="pt-BR" w:eastAsia="en-US"/>
        </w:rPr>
        <w:t>6</w:t>
      </w:r>
      <w:r>
        <w:rPr>
          <w:lang w:eastAsia="en-US"/>
        </w:rPr>
        <w:t xml:space="preserve">.28.1. Não havendo quitação das obrigações por parte da CONTRATADA no prazo de quinze dias, a CONTRATANTE poderá efetuar o pagamento das obrigações diretamente aos empregados da contratada que tenham participado da execução dos serviços objeto do contrato. </w:t>
      </w:r>
    </w:p>
    <w:p>
      <w:pPr>
        <w:jc w:val="both"/>
        <w:rPr>
          <w:lang w:eastAsia="en-US"/>
        </w:rPr>
      </w:pPr>
    </w:p>
    <w:p>
      <w:pPr>
        <w:jc w:val="both"/>
        <w:rPr>
          <w:lang w:eastAsia="en-US"/>
        </w:rPr>
      </w:pPr>
      <w:r>
        <w:rPr>
          <w:lang w:eastAsia="en-US"/>
        </w:rPr>
        <w:t>1</w:t>
      </w:r>
      <w:r>
        <w:rPr>
          <w:lang w:val="pt-BR" w:eastAsia="en-US"/>
        </w:rPr>
        <w:t>6</w:t>
      </w:r>
      <w:r>
        <w:rPr>
          <w:lang w:eastAsia="en-US"/>
        </w:rPr>
        <w:t xml:space="preserve">.28.2. O sindicato representante da categoria do trabalhador deverá ser notificado pela CONTRATANTE para acompanhar o pagamento das verbas mencionadas. </w:t>
      </w:r>
    </w:p>
    <w:p>
      <w:pPr>
        <w:jc w:val="both"/>
        <w:rPr>
          <w:lang w:eastAsia="en-US"/>
        </w:rPr>
      </w:pPr>
    </w:p>
    <w:p>
      <w:pPr>
        <w:jc w:val="both"/>
        <w:rPr>
          <w:lang w:eastAsia="en-US"/>
        </w:rPr>
      </w:pPr>
      <w:r>
        <w:rPr>
          <w:lang w:eastAsia="en-US"/>
        </w:rPr>
        <w:t>1</w:t>
      </w:r>
      <w:r>
        <w:rPr>
          <w:lang w:val="pt-BR" w:eastAsia="en-US"/>
        </w:rPr>
        <w:t>6</w:t>
      </w:r>
      <w:r>
        <w:rPr>
          <w:lang w:eastAsia="en-US"/>
        </w:rPr>
        <w:t xml:space="preserve">.28.3 Tais pagamentos não configuram vínculo empregatício ou implicam a assunção de responsabilidade por quaisquer obrigações dele decorrentes entre a contratante e os empregados da contratada. </w:t>
      </w:r>
    </w:p>
    <w:p>
      <w:pPr>
        <w:jc w:val="both"/>
        <w:rPr>
          <w:lang w:eastAsia="en-US"/>
        </w:rPr>
      </w:pPr>
    </w:p>
    <w:p>
      <w:pPr>
        <w:jc w:val="both"/>
        <w:rPr>
          <w:lang w:eastAsia="en-US"/>
        </w:rPr>
      </w:pPr>
      <w:r>
        <w:rPr>
          <w:lang w:eastAsia="en-US"/>
        </w:rPr>
        <w:t>1</w:t>
      </w:r>
      <w:r>
        <w:rPr>
          <w:lang w:val="pt-BR" w:eastAsia="en-US"/>
        </w:rPr>
        <w:t>6</w:t>
      </w:r>
      <w:r>
        <w:rPr>
          <w:lang w:eastAsia="en-US"/>
        </w:rPr>
        <w:t xml:space="preserve">.29. 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pPr>
        <w:jc w:val="both"/>
        <w:rPr>
          <w:lang w:eastAsia="en-US"/>
        </w:rPr>
      </w:pPr>
    </w:p>
    <w:p>
      <w:pPr>
        <w:jc w:val="both"/>
        <w:rPr>
          <w:lang w:eastAsia="en-US"/>
        </w:rPr>
      </w:pPr>
      <w:r>
        <w:rPr>
          <w:lang w:eastAsia="en-US"/>
        </w:rPr>
        <w:t>1</w:t>
      </w:r>
      <w:r>
        <w:rPr>
          <w:lang w:val="pt-BR" w:eastAsia="en-US"/>
        </w:rPr>
        <w:t>6</w:t>
      </w:r>
      <w:r>
        <w:rPr>
          <w:lang w:eastAsia="en-US"/>
        </w:rPr>
        <w:t>.30.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pPr>
        <w:jc w:val="both"/>
      </w:pPr>
    </w:p>
    <w:p>
      <w:pPr>
        <w:pStyle w:val="31"/>
        <w:numPr>
          <w:ilvl w:val="0"/>
          <w:numId w:val="0"/>
        </w:numPr>
        <w:ind w:leftChars="0"/>
      </w:pPr>
      <w:r>
        <w:rPr>
          <w:lang w:val="pt-BR"/>
        </w:rPr>
        <w:t>17</w:t>
      </w:r>
      <w:r>
        <w:rPr>
          <w:lang w:val="pt-BR"/>
        </w:rPr>
        <w:tab/>
      </w:r>
      <w:r>
        <w:t>DO RECEBIMENTO E ACEITAÇÃO DO OBJETO</w:t>
      </w:r>
    </w:p>
    <w:p/>
    <w:p>
      <w:pPr>
        <w:jc w:val="both"/>
        <w:rPr>
          <w:lang w:eastAsia="en-US"/>
        </w:rPr>
      </w:pPr>
      <w:r>
        <w:rPr>
          <w:lang w:eastAsia="en-US"/>
        </w:rPr>
        <w:t>1</w:t>
      </w:r>
      <w:r>
        <w:rPr>
          <w:lang w:val="pt-BR" w:eastAsia="en-US"/>
        </w:rPr>
        <w:t>7</w:t>
      </w:r>
      <w:r>
        <w:rPr>
          <w:lang w:eastAsia="en-US"/>
        </w:rPr>
        <w:t>.1 O recebimento provisório ou definitivo do objeto não exclui a responsabilidade da Contratada pelos prejuízos resultantes da incorreta execução do contrato.</w:t>
      </w:r>
    </w:p>
    <w:p>
      <w:pPr>
        <w:jc w:val="both"/>
        <w:rPr>
          <w:lang w:eastAsia="en-US"/>
        </w:rPr>
      </w:pPr>
    </w:p>
    <w:p>
      <w:pPr>
        <w:jc w:val="both"/>
        <w:rPr>
          <w:lang w:eastAsia="en-US"/>
        </w:rPr>
      </w:pPr>
      <w:r>
        <w:rPr>
          <w:lang w:eastAsia="en-US"/>
        </w:rPr>
        <w:t>1</w:t>
      </w:r>
      <w:r>
        <w:rPr>
          <w:lang w:val="pt-BR" w:eastAsia="en-US"/>
        </w:rPr>
        <w:t>7</w:t>
      </w:r>
      <w:r>
        <w:rPr>
          <w:lang w:eastAsia="en-US"/>
        </w:rPr>
        <w:t>.2. O recebimento provisório será realizado pelo fiscal técnico, administrativo e setorial ou pela equipe de fiscalização.</w:t>
      </w:r>
    </w:p>
    <w:p>
      <w:pPr>
        <w:jc w:val="both"/>
        <w:rPr>
          <w:lang w:eastAsia="en-US"/>
        </w:rPr>
      </w:pPr>
    </w:p>
    <w:p>
      <w:pPr>
        <w:jc w:val="both"/>
        <w:rPr>
          <w:lang w:eastAsia="en-US"/>
        </w:rPr>
      </w:pPr>
      <w:r>
        <w:rPr>
          <w:lang w:eastAsia="en-US"/>
        </w:rPr>
        <w:t>1</w:t>
      </w:r>
      <w:r>
        <w:rPr>
          <w:lang w:val="pt-BR" w:eastAsia="en-US"/>
        </w:rPr>
        <w:t>7</w:t>
      </w:r>
      <w:r>
        <w:rPr>
          <w:lang w:eastAsia="en-US"/>
        </w:rPr>
        <w:t>.2.1. Ao final de cada período mensal, o fiscal técnico deverá apurar o resultado das avaliações da execução do objeto e, se for o caso, a análise do desempenho e qualidade da prestação dos serviços realizados em consonância com os indicadores previstos no ato convocatório.</w:t>
      </w:r>
    </w:p>
    <w:p>
      <w:pPr>
        <w:jc w:val="both"/>
        <w:rPr>
          <w:lang w:eastAsia="en-US"/>
        </w:rPr>
      </w:pPr>
    </w:p>
    <w:p>
      <w:pPr>
        <w:jc w:val="both"/>
        <w:rPr>
          <w:lang w:eastAsia="en-US"/>
        </w:rPr>
      </w:pPr>
      <w:r>
        <w:rPr>
          <w:lang w:eastAsia="en-US"/>
        </w:rPr>
        <w:t>1</w:t>
      </w:r>
      <w:r>
        <w:rPr>
          <w:lang w:val="pt-BR" w:eastAsia="en-US"/>
        </w:rPr>
        <w:t>7</w:t>
      </w:r>
      <w:r>
        <w:rPr>
          <w:lang w:eastAsia="en-US"/>
        </w:rPr>
        <w:t>.2.2. Ao final de cada período mensal, o fiscal administrativo deverá verificar a efetiva realização dos dispêndios concernentes aos salários e às obrigações trabalhistas, previdenciárias e com o FGTS do mês anterior.</w:t>
      </w:r>
    </w:p>
    <w:p>
      <w:pPr>
        <w:jc w:val="both"/>
        <w:rPr>
          <w:lang w:eastAsia="en-US"/>
        </w:rPr>
      </w:pPr>
    </w:p>
    <w:p>
      <w:pPr>
        <w:jc w:val="both"/>
        <w:rPr>
          <w:lang w:eastAsia="en-US"/>
        </w:rPr>
      </w:pPr>
      <w:r>
        <w:rPr>
          <w:lang w:eastAsia="en-US"/>
        </w:rPr>
        <w:t>1</w:t>
      </w:r>
      <w:r>
        <w:rPr>
          <w:lang w:val="pt-BR" w:eastAsia="en-US"/>
        </w:rPr>
        <w:t>7</w:t>
      </w:r>
      <w:r>
        <w:rPr>
          <w:lang w:eastAsia="en-US"/>
        </w:rPr>
        <w:t>.2.3. Será elaborado relatório circunstanciado, com registro, análise e conclusão acerca das ocorrências na execução do contrato, o qual será encaminhado ao gestor do contrato para recebimento definitivo.</w:t>
      </w:r>
    </w:p>
    <w:p>
      <w:pPr>
        <w:jc w:val="both"/>
        <w:rPr>
          <w:lang w:eastAsia="en-US"/>
        </w:rPr>
      </w:pPr>
    </w:p>
    <w:p>
      <w:pPr>
        <w:jc w:val="both"/>
        <w:rPr>
          <w:lang w:eastAsia="en-US"/>
        </w:rPr>
      </w:pPr>
      <w:r>
        <w:rPr>
          <w:lang w:eastAsia="en-US"/>
        </w:rPr>
        <w:t>1</w:t>
      </w:r>
      <w:r>
        <w:rPr>
          <w:lang w:val="pt-BR" w:eastAsia="en-US"/>
        </w:rPr>
        <w:t>7</w:t>
      </w:r>
      <w:r>
        <w:rPr>
          <w:lang w:eastAsia="en-US"/>
        </w:rPr>
        <w:t>.2.3.1  Quando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pPr>
        <w:jc w:val="both"/>
        <w:rPr>
          <w:lang w:eastAsia="en-US"/>
        </w:rPr>
      </w:pPr>
    </w:p>
    <w:p>
      <w:pPr>
        <w:jc w:val="both"/>
        <w:rPr>
          <w:lang w:eastAsia="en-US"/>
        </w:rPr>
      </w:pPr>
      <w:r>
        <w:rPr>
          <w:lang w:eastAsia="en-US"/>
        </w:rPr>
        <w:t>1</w:t>
      </w:r>
      <w:r>
        <w:rPr>
          <w:lang w:val="pt-BR" w:eastAsia="en-US"/>
        </w:rPr>
        <w:t>7</w:t>
      </w:r>
      <w:r>
        <w:rPr>
          <w:lang w:eastAsia="en-US"/>
        </w:rPr>
        <w:t>.3. O recebimento definitivo, ato que concretiza o ateste da execução dos serviços, será realizado pelo gestor do contrato.</w:t>
      </w:r>
    </w:p>
    <w:p>
      <w:pPr>
        <w:jc w:val="both"/>
        <w:rPr>
          <w:lang w:eastAsia="en-US"/>
        </w:rPr>
      </w:pPr>
    </w:p>
    <w:p>
      <w:pPr>
        <w:jc w:val="both"/>
        <w:rPr>
          <w:lang w:eastAsia="en-US"/>
        </w:rPr>
      </w:pPr>
      <w:r>
        <w:rPr>
          <w:lang w:eastAsia="en-US"/>
        </w:rPr>
        <w:t>1</w:t>
      </w:r>
      <w:r>
        <w:rPr>
          <w:lang w:val="pt-BR" w:eastAsia="en-US"/>
        </w:rPr>
        <w:t>7</w:t>
      </w:r>
      <w:r>
        <w:rPr>
          <w:lang w:eastAsia="en-US"/>
        </w:rPr>
        <w:t>.3.1. O gestor do contrato analisará os relatórios e toda documentação apresentada pela fiscalização técnica e administrativa e, caso haja irregularidades que impeçam a liquidação e o pagamento da despesa, indicará as cláusulas contratuais pertinentes, solicitando à CONTRATADA, por escrito, as respectivas correções.</w:t>
      </w:r>
    </w:p>
    <w:p>
      <w:pPr>
        <w:jc w:val="both"/>
        <w:rPr>
          <w:lang w:eastAsia="en-US"/>
        </w:rPr>
      </w:pPr>
    </w:p>
    <w:p>
      <w:pPr>
        <w:jc w:val="both"/>
        <w:rPr>
          <w:lang w:eastAsia="en-US"/>
        </w:rPr>
      </w:pPr>
      <w:r>
        <w:rPr>
          <w:lang w:eastAsia="en-US"/>
        </w:rPr>
        <w:t>1</w:t>
      </w:r>
      <w:r>
        <w:rPr>
          <w:lang w:val="pt-BR" w:eastAsia="en-US"/>
        </w:rPr>
        <w:t>7</w:t>
      </w:r>
      <w:r>
        <w:rPr>
          <w:lang w:eastAsia="en-US"/>
        </w:rPr>
        <w:t>.3.2. 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pPr>
        <w:jc w:val="both"/>
        <w:rPr>
          <w:lang w:eastAsia="en-US"/>
        </w:rPr>
      </w:pPr>
    </w:p>
    <w:p>
      <w:pPr>
        <w:pStyle w:val="31"/>
        <w:numPr>
          <w:ilvl w:val="0"/>
          <w:numId w:val="0"/>
        </w:numPr>
        <w:ind w:leftChars="0"/>
      </w:pPr>
      <w:r>
        <w:rPr>
          <w:lang w:val="pt-BR"/>
        </w:rPr>
        <w:t xml:space="preserve">18    </w:t>
      </w:r>
      <w:r>
        <w:t>DAS SANÇÕES ADMINISTRATIVAS</w:t>
      </w:r>
    </w:p>
    <w:p/>
    <w:p/>
    <w:p>
      <w:pPr>
        <w:jc w:val="both"/>
        <w:rPr>
          <w:lang w:eastAsia="en-US"/>
        </w:rPr>
      </w:pPr>
      <w:r>
        <w:rPr>
          <w:lang w:val="pt-BR" w:eastAsia="en-US"/>
        </w:rPr>
        <w:t>18</w:t>
      </w:r>
      <w:r>
        <w:rPr>
          <w:lang w:eastAsia="en-US"/>
        </w:rPr>
        <w:t>.1 Comete infração administrativa nos termos da Lei nº 8.666, de 1993 e da Lei nº 10.520, de 2002, a Contratada que:</w:t>
      </w:r>
    </w:p>
    <w:p>
      <w:pPr>
        <w:numPr>
          <w:ilvl w:val="2"/>
          <w:numId w:val="12"/>
        </w:numPr>
        <w:spacing w:before="120" w:after="120" w:line="276" w:lineRule="auto"/>
        <w:ind w:left="1134" w:firstLine="0"/>
        <w:jc w:val="both"/>
        <w:rPr>
          <w:szCs w:val="20"/>
        </w:rPr>
      </w:pPr>
      <w:r>
        <w:rPr>
          <w:szCs w:val="20"/>
        </w:rPr>
        <w:t>inexecutar total ou parcialmente qualquer das obrigações assumidas em decorrência da contratação;</w:t>
      </w:r>
    </w:p>
    <w:p>
      <w:pPr>
        <w:numPr>
          <w:ilvl w:val="2"/>
          <w:numId w:val="12"/>
        </w:numPr>
        <w:spacing w:before="120" w:after="120" w:line="276" w:lineRule="auto"/>
        <w:ind w:left="1134" w:firstLine="0"/>
        <w:jc w:val="both"/>
        <w:rPr>
          <w:szCs w:val="20"/>
        </w:rPr>
      </w:pPr>
      <w:r>
        <w:rPr>
          <w:szCs w:val="20"/>
        </w:rPr>
        <w:t>ensejar o retardamento da execução do objeto;</w:t>
      </w:r>
    </w:p>
    <w:p>
      <w:pPr>
        <w:numPr>
          <w:ilvl w:val="2"/>
          <w:numId w:val="12"/>
        </w:numPr>
        <w:spacing w:before="120" w:after="120" w:line="276" w:lineRule="auto"/>
        <w:ind w:left="1134" w:firstLine="0"/>
        <w:jc w:val="both"/>
        <w:rPr>
          <w:szCs w:val="20"/>
        </w:rPr>
      </w:pPr>
      <w:r>
        <w:rPr>
          <w:szCs w:val="20"/>
        </w:rPr>
        <w:t>fraudar na execução do contrato;</w:t>
      </w:r>
    </w:p>
    <w:p>
      <w:pPr>
        <w:numPr>
          <w:ilvl w:val="2"/>
          <w:numId w:val="12"/>
        </w:numPr>
        <w:spacing w:before="120" w:after="120" w:line="276" w:lineRule="auto"/>
        <w:ind w:left="1134" w:firstLine="0"/>
        <w:jc w:val="both"/>
        <w:rPr>
          <w:szCs w:val="20"/>
        </w:rPr>
      </w:pPr>
      <w:r>
        <w:rPr>
          <w:szCs w:val="20"/>
        </w:rPr>
        <w:t>comportar-se de modo inidôneo;</w:t>
      </w:r>
    </w:p>
    <w:p>
      <w:pPr>
        <w:numPr>
          <w:ilvl w:val="2"/>
          <w:numId w:val="12"/>
        </w:numPr>
        <w:spacing w:before="120" w:after="120" w:line="276" w:lineRule="auto"/>
        <w:ind w:left="1134" w:firstLine="0"/>
        <w:jc w:val="both"/>
        <w:rPr>
          <w:szCs w:val="20"/>
        </w:rPr>
      </w:pPr>
      <w:r>
        <w:rPr>
          <w:szCs w:val="20"/>
        </w:rPr>
        <w:t>cometer fraude fiscal;</w:t>
      </w:r>
    </w:p>
    <w:p>
      <w:pPr>
        <w:numPr>
          <w:ilvl w:val="2"/>
          <w:numId w:val="12"/>
        </w:numPr>
        <w:spacing w:before="120" w:after="120" w:line="276" w:lineRule="auto"/>
        <w:ind w:left="1134" w:firstLine="0"/>
        <w:jc w:val="both"/>
        <w:rPr>
          <w:szCs w:val="20"/>
        </w:rPr>
      </w:pPr>
      <w:r>
        <w:rPr>
          <w:szCs w:val="20"/>
        </w:rPr>
        <w:t>não mantiver a proposta.</w:t>
      </w:r>
    </w:p>
    <w:p>
      <w:pPr>
        <w:jc w:val="both"/>
        <w:rPr>
          <w:lang w:eastAsia="en-US"/>
        </w:rPr>
      </w:pPr>
      <w:r>
        <w:rPr>
          <w:lang w:eastAsia="en-US"/>
        </w:rPr>
        <w:t>19.2 Comete falta grave, podendo ensejar a rescisão unilateral da avença, sem prejuízo da aplicação de sanção pecuniária e do impedimento para licitar e contratar com a União, nos termos do art. 7º da Lei 10.520, de 2002, aquele que:</w:t>
      </w:r>
    </w:p>
    <w:p>
      <w:pPr>
        <w:pStyle w:val="16"/>
        <w:numPr>
          <w:ilvl w:val="0"/>
          <w:numId w:val="13"/>
        </w:numPr>
        <w:spacing w:before="120" w:after="120" w:line="276" w:lineRule="auto"/>
        <w:contextualSpacing w:val="0"/>
        <w:jc w:val="both"/>
        <w:rPr>
          <w:vanish/>
          <w:szCs w:val="20"/>
        </w:rPr>
      </w:pPr>
    </w:p>
    <w:p>
      <w:pPr>
        <w:pStyle w:val="16"/>
        <w:numPr>
          <w:ilvl w:val="1"/>
          <w:numId w:val="13"/>
        </w:numPr>
        <w:spacing w:before="120" w:after="120" w:line="276" w:lineRule="auto"/>
        <w:contextualSpacing w:val="0"/>
        <w:jc w:val="both"/>
        <w:rPr>
          <w:vanish/>
          <w:szCs w:val="20"/>
        </w:rPr>
      </w:pPr>
    </w:p>
    <w:p>
      <w:pPr>
        <w:pStyle w:val="16"/>
        <w:numPr>
          <w:ilvl w:val="1"/>
          <w:numId w:val="13"/>
        </w:numPr>
        <w:spacing w:before="120" w:after="120" w:line="276" w:lineRule="auto"/>
        <w:contextualSpacing w:val="0"/>
        <w:jc w:val="both"/>
        <w:rPr>
          <w:vanish/>
          <w:szCs w:val="20"/>
        </w:rPr>
      </w:pPr>
    </w:p>
    <w:p>
      <w:pPr>
        <w:numPr>
          <w:ilvl w:val="2"/>
          <w:numId w:val="13"/>
        </w:numPr>
        <w:spacing w:before="120" w:after="120" w:line="276" w:lineRule="auto"/>
        <w:ind w:left="1134" w:firstLine="0"/>
        <w:jc w:val="both"/>
        <w:rPr>
          <w:szCs w:val="20"/>
        </w:rPr>
      </w:pPr>
      <w:r>
        <w:rPr>
          <w:szCs w:val="20"/>
        </w:rPr>
        <w:t xml:space="preserve"> não promover o recolhimento das contribuições relativas ao FGTS e à Previdência Social exigíveis até o momento da apresentação da fatura;</w:t>
      </w:r>
    </w:p>
    <w:p>
      <w:pPr>
        <w:numPr>
          <w:ilvl w:val="2"/>
          <w:numId w:val="13"/>
        </w:numPr>
        <w:spacing w:before="120" w:after="120" w:line="276" w:lineRule="auto"/>
        <w:ind w:left="1134" w:firstLine="0"/>
        <w:jc w:val="both"/>
        <w:rPr>
          <w:szCs w:val="20"/>
        </w:rPr>
      </w:pPr>
      <w:r>
        <w:rPr>
          <w:szCs w:val="20"/>
        </w:rPr>
        <w:t xml:space="preserve"> deixar de realizar pagamento do salário, do vale-transporte e do auxílio alimentação no dia fixado. </w:t>
      </w:r>
    </w:p>
    <w:p>
      <w:pPr>
        <w:spacing w:before="120" w:after="120" w:line="276" w:lineRule="auto"/>
        <w:ind w:left="360"/>
        <w:jc w:val="both"/>
        <w:rPr>
          <w:szCs w:val="20"/>
        </w:rPr>
      </w:pPr>
      <w:r>
        <w:rPr>
          <w:szCs w:val="20"/>
        </w:rPr>
        <w:t xml:space="preserve">19.3 Pela inexecução </w:t>
      </w:r>
      <w:r>
        <w:rPr>
          <w:szCs w:val="20"/>
          <w:u w:val="single"/>
        </w:rPr>
        <w:t>total ou parcial</w:t>
      </w:r>
      <w:r>
        <w:rPr>
          <w:szCs w:val="20"/>
        </w:rPr>
        <w:t xml:space="preserve"> do objeto deste contrato, a Administração pode aplicar à CONTRATADA as seguintes sanções:</w:t>
      </w:r>
    </w:p>
    <w:p>
      <w:pPr>
        <w:pStyle w:val="16"/>
        <w:numPr>
          <w:ilvl w:val="2"/>
          <w:numId w:val="14"/>
        </w:numPr>
        <w:spacing w:before="120" w:after="120" w:line="276" w:lineRule="auto"/>
        <w:jc w:val="both"/>
        <w:rPr>
          <w:szCs w:val="20"/>
        </w:rPr>
      </w:pPr>
      <w:r>
        <w:rPr>
          <w:b/>
          <w:bCs/>
          <w:szCs w:val="20"/>
        </w:rPr>
        <w:t>Advertência por escrito</w:t>
      </w:r>
      <w:r>
        <w:rPr>
          <w:szCs w:val="20"/>
        </w:rPr>
        <w:t>, quando do não cumprimento de quaisquer das obrigações contratuais consideradas faltas leves, assim entendidas aquelas que não acarretam prejuízos significativos para o serviço contratado;</w:t>
      </w:r>
    </w:p>
    <w:p>
      <w:pPr>
        <w:pStyle w:val="16"/>
        <w:numPr>
          <w:ilvl w:val="2"/>
          <w:numId w:val="14"/>
        </w:numPr>
        <w:spacing w:before="120" w:after="120" w:line="276" w:lineRule="auto"/>
        <w:jc w:val="both"/>
        <w:rPr>
          <w:szCs w:val="20"/>
        </w:rPr>
      </w:pPr>
      <w:r>
        <w:rPr>
          <w:b/>
          <w:bCs/>
          <w:szCs w:val="20"/>
        </w:rPr>
        <w:t>Multa de</w:t>
      </w:r>
      <w:r>
        <w:rPr>
          <w:szCs w:val="20"/>
        </w:rPr>
        <w:t xml:space="preserve">: </w:t>
      </w:r>
    </w:p>
    <w:p>
      <w:pPr>
        <w:numPr>
          <w:ilvl w:val="3"/>
          <w:numId w:val="14"/>
        </w:numPr>
        <w:spacing w:before="120" w:after="120" w:line="276" w:lineRule="auto"/>
        <w:jc w:val="both"/>
        <w:rPr>
          <w:szCs w:val="20"/>
        </w:rPr>
      </w:pPr>
      <w:r>
        <w:rPr>
          <w:szCs w:val="20"/>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pPr>
        <w:numPr>
          <w:ilvl w:val="3"/>
          <w:numId w:val="14"/>
        </w:numPr>
        <w:spacing w:before="120" w:after="120" w:line="276" w:lineRule="auto"/>
        <w:jc w:val="both"/>
        <w:rPr>
          <w:szCs w:val="20"/>
        </w:rPr>
      </w:pPr>
      <w:r>
        <w:rPr>
          <w:szCs w:val="20"/>
        </w:rPr>
        <w:t xml:space="preserve">0,1% (um décimo por cento) até 10% (dez por cento) sobre o valor adjudicado, em caso de atraso na execução do objeto, por período superior ao previsto no </w:t>
      </w:r>
      <w:r>
        <w:rPr>
          <w:bCs/>
          <w:szCs w:val="20"/>
        </w:rPr>
        <w:t>subitem acima,</w:t>
      </w:r>
      <w:r>
        <w:rPr>
          <w:szCs w:val="20"/>
        </w:rPr>
        <w:t xml:space="preserve"> ou de inexecução parcial da obrigação assumida;</w:t>
      </w:r>
    </w:p>
    <w:p>
      <w:pPr>
        <w:numPr>
          <w:ilvl w:val="3"/>
          <w:numId w:val="14"/>
        </w:numPr>
        <w:spacing w:before="120" w:after="120" w:line="276" w:lineRule="auto"/>
        <w:jc w:val="both"/>
        <w:rPr>
          <w:szCs w:val="20"/>
        </w:rPr>
      </w:pPr>
      <w:r>
        <w:rPr>
          <w:szCs w:val="20"/>
        </w:rPr>
        <w:t>0,1% (um décimo por cento) até 15% (quinze por cento) sobre o valor adjudicado, em caso de inexecução total da obrigação assumida;</w:t>
      </w:r>
    </w:p>
    <w:p>
      <w:pPr>
        <w:numPr>
          <w:ilvl w:val="3"/>
          <w:numId w:val="14"/>
        </w:numPr>
        <w:spacing w:before="120" w:after="120" w:line="276" w:lineRule="auto"/>
        <w:jc w:val="both"/>
        <w:rPr>
          <w:szCs w:val="20"/>
        </w:rPr>
      </w:pPr>
      <w:r>
        <w:rPr>
          <w:szCs w:val="20"/>
        </w:rPr>
        <w:t xml:space="preserve">0,2% a 3,2% por dia sobre o valor mensal do contrato, conforme detalhamento constante das </w:t>
      </w:r>
      <w:r>
        <w:rPr>
          <w:b/>
          <w:bCs/>
          <w:szCs w:val="20"/>
        </w:rPr>
        <w:t>tabelas 1 e 2</w:t>
      </w:r>
      <w:r>
        <w:rPr>
          <w:szCs w:val="20"/>
        </w:rPr>
        <w:t>, abaixo; e</w:t>
      </w:r>
    </w:p>
    <w:p>
      <w:pPr>
        <w:pStyle w:val="36"/>
        <w:numPr>
          <w:ilvl w:val="3"/>
          <w:numId w:val="14"/>
        </w:numPr>
        <w:spacing w:before="120" w:after="120" w:line="276" w:lineRule="auto"/>
        <w:ind w:right="-30"/>
        <w:jc w:val="both"/>
        <w:rPr>
          <w:rFonts w:ascii="Arial" w:hAnsi="Arial" w:cs="Arial"/>
          <w:sz w:val="20"/>
          <w:szCs w:val="20"/>
        </w:rPr>
      </w:pPr>
      <w:r>
        <w:rPr>
          <w:rFonts w:ascii="Arial" w:hAnsi="Arial" w:cs="Arial"/>
          <w:sz w:val="20"/>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pPr>
        <w:pStyle w:val="36"/>
        <w:numPr>
          <w:ilvl w:val="3"/>
          <w:numId w:val="14"/>
        </w:numPr>
        <w:spacing w:before="120" w:after="120" w:line="276" w:lineRule="auto"/>
        <w:ind w:right="-30"/>
        <w:jc w:val="both"/>
        <w:rPr>
          <w:rFonts w:ascii="Arial" w:hAnsi="Arial" w:cs="Arial"/>
          <w:sz w:val="20"/>
          <w:szCs w:val="20"/>
        </w:rPr>
      </w:pPr>
      <w:r>
        <w:rPr>
          <w:rFonts w:ascii="Arial" w:hAnsi="Arial" w:cs="Arial"/>
          <w:sz w:val="20"/>
          <w:szCs w:val="20"/>
        </w:rPr>
        <w:t>as penalidades de multa decorrentes de fatos diversos serão consideradas independentes entre si.</w:t>
      </w:r>
    </w:p>
    <w:p>
      <w:pPr>
        <w:pStyle w:val="36"/>
        <w:numPr>
          <w:ilvl w:val="2"/>
          <w:numId w:val="14"/>
        </w:numPr>
        <w:spacing w:before="120" w:after="120" w:line="276" w:lineRule="auto"/>
        <w:ind w:right="-30"/>
        <w:jc w:val="both"/>
        <w:rPr>
          <w:rFonts w:ascii="Arial" w:hAnsi="Arial" w:cs="Arial"/>
          <w:sz w:val="20"/>
          <w:szCs w:val="20"/>
        </w:rPr>
      </w:pPr>
      <w:r>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pPr>
        <w:pStyle w:val="36"/>
        <w:numPr>
          <w:ilvl w:val="2"/>
          <w:numId w:val="14"/>
        </w:numPr>
        <w:spacing w:before="120" w:after="120" w:line="276" w:lineRule="auto"/>
        <w:ind w:right="-30"/>
        <w:jc w:val="both"/>
        <w:rPr>
          <w:rFonts w:ascii="Arial" w:hAnsi="Arial" w:cs="Arial"/>
          <w:sz w:val="20"/>
          <w:szCs w:val="20"/>
        </w:rPr>
      </w:pPr>
      <w:r>
        <w:rPr>
          <w:rFonts w:ascii="Arial" w:hAnsi="Arial" w:cs="Arial"/>
          <w:sz w:val="20"/>
          <w:szCs w:val="20"/>
        </w:rPr>
        <w:t>Sanção de impedimento de licitar e contratar com órgãos e entidades da União, com o consequente descredenciamento no SICAF pelo prazo de até cinco anos.</w:t>
      </w:r>
    </w:p>
    <w:p>
      <w:pPr>
        <w:pStyle w:val="36"/>
        <w:numPr>
          <w:ilvl w:val="2"/>
          <w:numId w:val="14"/>
        </w:numPr>
        <w:spacing w:before="120" w:after="120" w:line="276" w:lineRule="auto"/>
        <w:ind w:right="-30"/>
        <w:jc w:val="both"/>
        <w:rPr>
          <w:rFonts w:ascii="Arial" w:hAnsi="Arial" w:cs="Arial"/>
          <w:sz w:val="20"/>
          <w:szCs w:val="20"/>
        </w:rPr>
      </w:pPr>
      <w:r>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pPr>
        <w:pStyle w:val="36"/>
        <w:spacing w:before="120" w:after="120" w:line="276" w:lineRule="auto"/>
        <w:ind w:left="1944" w:right="-30"/>
        <w:jc w:val="both"/>
        <w:rPr>
          <w:rFonts w:ascii="Arial" w:hAnsi="Arial" w:cs="Arial"/>
          <w:sz w:val="20"/>
          <w:szCs w:val="20"/>
        </w:rPr>
      </w:pPr>
      <w:r>
        <w:rPr>
          <w:rFonts w:ascii="Arial" w:hAnsi="Arial" w:cs="Arial"/>
          <w:sz w:val="20"/>
          <w:szCs w:val="20"/>
        </w:rPr>
        <w:t>19.4 As sanções previstas nos subitens 19.3.1, 19.3.3, 19.3.4 e 19.3.5 poderão ser aplicadas à CONTRATADA juntamente com as de multa, descontando-a dos pagamentos a serem efetuados.</w:t>
      </w:r>
    </w:p>
    <w:p>
      <w:pPr>
        <w:pStyle w:val="36"/>
        <w:spacing w:before="120" w:after="120" w:line="276" w:lineRule="auto"/>
        <w:ind w:left="1418" w:right="-30"/>
        <w:jc w:val="both"/>
        <w:rPr>
          <w:rFonts w:ascii="Arial" w:hAnsi="Arial" w:cs="Arial"/>
          <w:sz w:val="20"/>
          <w:szCs w:val="20"/>
        </w:rPr>
      </w:pPr>
      <w:r>
        <w:rPr>
          <w:rFonts w:ascii="Arial" w:hAnsi="Arial" w:cs="Arial"/>
          <w:sz w:val="20"/>
          <w:szCs w:val="20"/>
        </w:rPr>
        <w:t>19.5 Para efeito de aplicação de multas, às infrações são atribuídos graus, de acordo com as tabelas 1 e 2:</w:t>
      </w:r>
    </w:p>
    <w:p>
      <w:pPr>
        <w:pStyle w:val="16"/>
        <w:spacing w:before="120" w:after="120" w:line="276" w:lineRule="auto"/>
        <w:ind w:left="540" w:right="-30" w:firstLine="27"/>
        <w:jc w:val="center"/>
        <w:rPr>
          <w:rFonts w:cs="Arial"/>
          <w:b/>
          <w:bCs/>
          <w:szCs w:val="20"/>
        </w:rPr>
      </w:pPr>
      <w:r>
        <w:rPr>
          <w:rFonts w:cs="Arial"/>
          <w:b/>
          <w:bCs/>
          <w:szCs w:val="20"/>
        </w:rPr>
        <w:t>Tabela 1</w:t>
      </w:r>
    </w:p>
    <w:tbl>
      <w:tblPr>
        <w:tblStyle w:val="15"/>
        <w:tblW w:w="9180" w:type="dxa"/>
        <w:tblCellSpacing w:w="0" w:type="dxa"/>
        <w:tblInd w:w="10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
      <w:tblGrid>
        <w:gridCol w:w="3576"/>
        <w:gridCol w:w="560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rHeight w:val="180" w:hRule="atLeast"/>
          <w:tblCellSpacing w:w="0" w:type="dxa"/>
        </w:trPr>
        <w:tc>
          <w:tcPr>
            <w:tcW w:w="3576" w:type="dxa"/>
            <w:tcBorders>
              <w:top w:val="single" w:color="auto" w:sz="4" w:space="0"/>
              <w:left w:val="single" w:color="000000" w:sz="6"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b/>
                <w:bCs/>
                <w:szCs w:val="20"/>
              </w:rPr>
              <w:t>GRAU</w:t>
            </w:r>
          </w:p>
        </w:tc>
        <w:tc>
          <w:tcPr>
            <w:tcW w:w="5604"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b/>
                <w:bCs/>
                <w:szCs w:val="20"/>
              </w:rPr>
              <w:t>CORRESPONDÊNCIA</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3576"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1</w:t>
            </w:r>
          </w:p>
        </w:tc>
        <w:tc>
          <w:tcPr>
            <w:tcW w:w="5604"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0,2%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3576"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2</w:t>
            </w:r>
          </w:p>
        </w:tc>
        <w:tc>
          <w:tcPr>
            <w:tcW w:w="5604"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0,4%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3576"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3</w:t>
            </w:r>
          </w:p>
        </w:tc>
        <w:tc>
          <w:tcPr>
            <w:tcW w:w="5604"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0,8%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3576"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4</w:t>
            </w:r>
          </w:p>
        </w:tc>
        <w:tc>
          <w:tcPr>
            <w:tcW w:w="5604"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1,6%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3576"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5</w:t>
            </w:r>
          </w:p>
        </w:tc>
        <w:tc>
          <w:tcPr>
            <w:tcW w:w="5604"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3,2% ao dia sobre o valor mensal do contrato</w:t>
            </w:r>
          </w:p>
        </w:tc>
      </w:tr>
    </w:tbl>
    <w:p>
      <w:pPr>
        <w:pStyle w:val="16"/>
        <w:spacing w:before="120" w:after="120" w:line="276" w:lineRule="auto"/>
        <w:ind w:left="540" w:right="-30"/>
        <w:jc w:val="center"/>
        <w:rPr>
          <w:rFonts w:cs="Arial"/>
          <w:szCs w:val="20"/>
        </w:rPr>
      </w:pPr>
      <w:r>
        <w:rPr>
          <w:rFonts w:cs="Arial"/>
          <w:b/>
          <w:bCs/>
          <w:szCs w:val="20"/>
        </w:rPr>
        <w:t>Tabela 2</w:t>
      </w:r>
    </w:p>
    <w:tbl>
      <w:tblPr>
        <w:tblStyle w:val="15"/>
        <w:tblW w:w="9180" w:type="dxa"/>
        <w:tblCellSpacing w:w="0" w:type="dxa"/>
        <w:tblInd w:w="10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
      <w:tblGrid>
        <w:gridCol w:w="2239"/>
        <w:gridCol w:w="4983"/>
        <w:gridCol w:w="195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rHeight w:val="60" w:hRule="atLeast"/>
          <w:tblCellSpacing w:w="0" w:type="dxa"/>
        </w:trPr>
        <w:tc>
          <w:tcPr>
            <w:tcW w:w="9180" w:type="dxa"/>
            <w:gridSpan w:val="3"/>
            <w:tcBorders>
              <w:top w:val="single" w:color="auto" w:sz="4" w:space="0"/>
              <w:left w:val="single" w:color="000000" w:sz="6" w:space="0"/>
              <w:bottom w:val="single" w:color="auto" w:sz="4" w:space="0"/>
              <w:right w:val="single" w:color="auto" w:sz="4" w:space="0"/>
            </w:tcBorders>
          </w:tcPr>
          <w:p>
            <w:pPr>
              <w:spacing w:before="120" w:after="120" w:line="276" w:lineRule="auto"/>
              <w:ind w:right="-30"/>
              <w:jc w:val="center"/>
              <w:rPr>
                <w:rFonts w:cs="Arial"/>
                <w:szCs w:val="20"/>
              </w:rPr>
            </w:pPr>
            <w:r>
              <w:rPr>
                <w:rFonts w:cs="Arial"/>
                <w:b/>
                <w:bCs/>
                <w:szCs w:val="20"/>
              </w:rPr>
              <w:t>INFRAÇÃO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b/>
                <w:bCs/>
                <w:szCs w:val="20"/>
              </w:rPr>
              <w:t>ITEM</w:t>
            </w:r>
          </w:p>
        </w:tc>
        <w:tc>
          <w:tcPr>
            <w:tcW w:w="4983"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b/>
                <w:bCs/>
                <w:szCs w:val="20"/>
              </w:rPr>
              <w:t>DESCRIÇÃO</w:t>
            </w:r>
          </w:p>
        </w:tc>
        <w:tc>
          <w:tcPr>
            <w:tcW w:w="1958"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b/>
                <w:bCs/>
                <w:szCs w:val="20"/>
              </w:rPr>
              <w:t>GRAU</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1</w:t>
            </w:r>
          </w:p>
        </w:tc>
        <w:tc>
          <w:tcPr>
            <w:tcW w:w="4983"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Permitir situação que crie a possibilidade de causar dano físico, lesão corporal ou conseqüências letais, por ocorrência;</w:t>
            </w:r>
          </w:p>
        </w:tc>
        <w:tc>
          <w:tcPr>
            <w:tcW w:w="1958"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05</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2</w:t>
            </w:r>
          </w:p>
        </w:tc>
        <w:tc>
          <w:tcPr>
            <w:tcW w:w="4983"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Suspender ou interromper, salvo motivo de força maior ou caso fortuito, os serviços contratuais por dia e por unidade de atendimento;</w:t>
            </w:r>
          </w:p>
        </w:tc>
        <w:tc>
          <w:tcPr>
            <w:tcW w:w="1958"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04</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3</w:t>
            </w:r>
          </w:p>
        </w:tc>
        <w:tc>
          <w:tcPr>
            <w:tcW w:w="4983"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Manter funcionário sem qualificação para executar os serviços contratados, por empregado e por dia;</w:t>
            </w:r>
          </w:p>
        </w:tc>
        <w:tc>
          <w:tcPr>
            <w:tcW w:w="1958"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03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4</w:t>
            </w:r>
          </w:p>
        </w:tc>
        <w:tc>
          <w:tcPr>
            <w:tcW w:w="4983"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Recusar-se a executar serviço determinado pela fiscalização, por serviço e por dia;</w:t>
            </w:r>
          </w:p>
        </w:tc>
        <w:tc>
          <w:tcPr>
            <w:tcW w:w="1958"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02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5</w:t>
            </w:r>
          </w:p>
        </w:tc>
        <w:tc>
          <w:tcPr>
            <w:tcW w:w="4983"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Retirar funcionários ou encarregados do serviço durante o expediente, sem a anuência prévia do CONTRATANTE, por empregado e por dia;</w:t>
            </w:r>
          </w:p>
        </w:tc>
        <w:tc>
          <w:tcPr>
            <w:tcW w:w="1958"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03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rHeight w:val="225" w:hRule="atLeast"/>
          <w:tblCellSpacing w:w="0" w:type="dxa"/>
        </w:trPr>
        <w:tc>
          <w:tcPr>
            <w:tcW w:w="9180" w:type="dxa"/>
            <w:gridSpan w:val="3"/>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b/>
                <w:bCs/>
                <w:szCs w:val="20"/>
              </w:rPr>
              <w:t>Para os itens a seguir, deixar de:</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6</w:t>
            </w:r>
          </w:p>
        </w:tc>
        <w:tc>
          <w:tcPr>
            <w:tcW w:w="4983"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Registrar e controlar, diariamente, a assiduidade e a pontualidade de seu pessoal, por funcionário e por dia;</w:t>
            </w:r>
          </w:p>
        </w:tc>
        <w:tc>
          <w:tcPr>
            <w:tcW w:w="1958"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01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7</w:t>
            </w:r>
          </w:p>
        </w:tc>
        <w:tc>
          <w:tcPr>
            <w:tcW w:w="4983"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Cumprir determinação formal ou instrução complementar do órgão fiscalizador, por ocorrência;</w:t>
            </w:r>
          </w:p>
        </w:tc>
        <w:tc>
          <w:tcPr>
            <w:tcW w:w="1958"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02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8</w:t>
            </w:r>
          </w:p>
        </w:tc>
        <w:tc>
          <w:tcPr>
            <w:tcW w:w="4983"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Substituir empregado que se conduza de modo inconveniente ou não atenda às necessidades do serviço, por funcionário e por dia;</w:t>
            </w:r>
          </w:p>
        </w:tc>
        <w:tc>
          <w:tcPr>
            <w:tcW w:w="1958"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01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9</w:t>
            </w:r>
          </w:p>
        </w:tc>
        <w:tc>
          <w:tcPr>
            <w:tcW w:w="4983"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Cumprir quaisquer dos itens do Edital e seus Anexos não previstos nesta tabela de multas, após reincidência formalmente notificada pelo órgão fiscalizador, por item e por ocorrência;</w:t>
            </w:r>
          </w:p>
        </w:tc>
        <w:tc>
          <w:tcPr>
            <w:tcW w:w="1958"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03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10</w:t>
            </w:r>
          </w:p>
        </w:tc>
        <w:tc>
          <w:tcPr>
            <w:tcW w:w="4983"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Indicar e manter durante a execução do contrato os prepostos previstos no edital/contrato;</w:t>
            </w:r>
          </w:p>
        </w:tc>
        <w:tc>
          <w:tcPr>
            <w:tcW w:w="1958"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01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11</w:t>
            </w:r>
          </w:p>
        </w:tc>
        <w:tc>
          <w:tcPr>
            <w:tcW w:w="4983" w:type="dxa"/>
            <w:tcBorders>
              <w:top w:val="single" w:color="auto" w:sz="4" w:space="0"/>
              <w:left w:val="single" w:color="auto" w:sz="4" w:space="0"/>
              <w:bottom w:val="single" w:color="auto" w:sz="4" w:space="0"/>
              <w:right w:val="single" w:color="auto" w:sz="4" w:space="0"/>
            </w:tcBorders>
          </w:tcPr>
          <w:p>
            <w:pPr>
              <w:spacing w:before="120" w:after="120" w:line="276" w:lineRule="auto"/>
              <w:ind w:right="-30"/>
              <w:jc w:val="center"/>
              <w:rPr>
                <w:rFonts w:cs="Arial"/>
                <w:szCs w:val="20"/>
              </w:rPr>
            </w:pPr>
            <w:r>
              <w:rPr>
                <w:rFonts w:cs="Arial"/>
                <w:szCs w:val="20"/>
              </w:rPr>
              <w:t>Providenciar treinamento para seus funcionários conforme previsto na relação de obrigações da CONTRATADA</w:t>
            </w:r>
          </w:p>
        </w:tc>
        <w:tc>
          <w:tcPr>
            <w:tcW w:w="1958" w:type="dxa"/>
            <w:tcBorders>
              <w:top w:val="single" w:color="auto" w:sz="4" w:space="0"/>
              <w:left w:val="single" w:color="auto" w:sz="4" w:space="0"/>
              <w:bottom w:val="single" w:color="auto" w:sz="4" w:space="0"/>
              <w:right w:val="single" w:color="auto" w:sz="4" w:space="0"/>
            </w:tcBorders>
            <w:vAlign w:val="center"/>
          </w:tcPr>
          <w:p>
            <w:pPr>
              <w:spacing w:before="120" w:after="120" w:line="276" w:lineRule="auto"/>
              <w:ind w:right="-30"/>
              <w:jc w:val="center"/>
              <w:rPr>
                <w:rFonts w:cs="Arial"/>
                <w:szCs w:val="20"/>
              </w:rPr>
            </w:pPr>
            <w:r>
              <w:rPr>
                <w:rFonts w:cs="Arial"/>
                <w:szCs w:val="20"/>
              </w:rPr>
              <w:t>01</w:t>
            </w:r>
          </w:p>
        </w:tc>
      </w:tr>
    </w:tbl>
    <w:p>
      <w:pPr>
        <w:spacing w:before="120" w:after="120" w:line="276" w:lineRule="auto"/>
        <w:ind w:left="425"/>
        <w:jc w:val="both"/>
        <w:rPr>
          <w:szCs w:val="20"/>
        </w:rPr>
      </w:pPr>
    </w:p>
    <w:p>
      <w:pPr>
        <w:pStyle w:val="16"/>
        <w:numPr>
          <w:ilvl w:val="1"/>
          <w:numId w:val="15"/>
        </w:numPr>
        <w:spacing w:before="120" w:after="120" w:line="276" w:lineRule="auto"/>
        <w:ind w:left="426" w:hanging="1"/>
        <w:jc w:val="both"/>
        <w:rPr>
          <w:szCs w:val="20"/>
        </w:rPr>
      </w:pPr>
      <w:r>
        <w:rPr>
          <w:szCs w:val="20"/>
        </w:rPr>
        <w:t>Também ficam sujeitas às penalidades do art. 87, III e IV da Lei nº 8.666, de 1993, as empresas ou profissionais que:</w:t>
      </w:r>
    </w:p>
    <w:p>
      <w:pPr>
        <w:pStyle w:val="16"/>
        <w:numPr>
          <w:ilvl w:val="2"/>
          <w:numId w:val="15"/>
        </w:numPr>
        <w:spacing w:before="120" w:after="120" w:line="276" w:lineRule="auto"/>
        <w:jc w:val="both"/>
        <w:rPr>
          <w:rFonts w:cs="Arial"/>
          <w:szCs w:val="20"/>
        </w:rPr>
      </w:pPr>
      <w:r>
        <w:rPr>
          <w:rFonts w:cs="Arial"/>
          <w:szCs w:val="20"/>
        </w:rPr>
        <w:t>tenham sofrido condenação definitiva por praticar, por meio dolosos, fraude fiscal no recolhimento de quaisquer tributos;</w:t>
      </w:r>
    </w:p>
    <w:p>
      <w:pPr>
        <w:pStyle w:val="16"/>
        <w:numPr>
          <w:ilvl w:val="2"/>
          <w:numId w:val="15"/>
        </w:numPr>
        <w:spacing w:before="120" w:after="120" w:line="276" w:lineRule="auto"/>
        <w:jc w:val="both"/>
        <w:rPr>
          <w:rFonts w:cs="Arial"/>
          <w:szCs w:val="20"/>
        </w:rPr>
      </w:pPr>
      <w:r>
        <w:rPr>
          <w:rFonts w:cs="Arial"/>
          <w:szCs w:val="20"/>
        </w:rPr>
        <w:t>tenham praticado atos ilícitos visando a frustrar os objetivos da licitação;</w:t>
      </w:r>
    </w:p>
    <w:p>
      <w:pPr>
        <w:pStyle w:val="16"/>
        <w:numPr>
          <w:ilvl w:val="2"/>
          <w:numId w:val="15"/>
        </w:numPr>
        <w:spacing w:before="120" w:after="120" w:line="276" w:lineRule="auto"/>
        <w:jc w:val="both"/>
        <w:rPr>
          <w:rFonts w:cs="Arial"/>
          <w:szCs w:val="20"/>
        </w:rPr>
      </w:pPr>
      <w:r>
        <w:rPr>
          <w:rFonts w:cs="Arial"/>
          <w:szCs w:val="20"/>
        </w:rPr>
        <w:t xml:space="preserve">demonstrem não possuir idoneidade para contratar com a Administração em virtude de atos ilícitos praticados. </w:t>
      </w:r>
    </w:p>
    <w:p>
      <w:pPr>
        <w:pStyle w:val="16"/>
        <w:spacing w:before="120" w:after="120" w:line="276" w:lineRule="auto"/>
        <w:ind w:left="426"/>
        <w:jc w:val="both"/>
        <w:rPr>
          <w:szCs w:val="20"/>
        </w:rPr>
      </w:pPr>
    </w:p>
    <w:p>
      <w:pPr>
        <w:pStyle w:val="16"/>
        <w:numPr>
          <w:ilvl w:val="1"/>
          <w:numId w:val="15"/>
        </w:numPr>
        <w:spacing w:before="120" w:after="120" w:line="276" w:lineRule="auto"/>
        <w:ind w:left="426" w:hanging="1"/>
        <w:jc w:val="both"/>
        <w:rPr>
          <w:szCs w:val="20"/>
        </w:rPr>
      </w:pPr>
      <w:r>
        <w:rPr>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pPr>
        <w:pStyle w:val="16"/>
        <w:numPr>
          <w:ilvl w:val="1"/>
          <w:numId w:val="15"/>
        </w:numPr>
        <w:spacing w:before="120" w:after="120" w:line="276" w:lineRule="auto"/>
        <w:ind w:left="426" w:firstLine="0"/>
        <w:jc w:val="both"/>
        <w:rPr>
          <w:i/>
          <w:szCs w:val="20"/>
        </w:rPr>
      </w:pPr>
      <w:r>
        <w:rPr>
          <w:szCs w:val="20"/>
        </w:rPr>
        <w:t>A autoridade competente, na aplicação das sanções, levará em consideração a gravidade da conduta do infrator, o caráter educativo da pena, bem como o dano causado à Administração, observado o princípio da proporcionalidade.</w:t>
      </w:r>
    </w:p>
    <w:p>
      <w:pPr>
        <w:numPr>
          <w:ilvl w:val="1"/>
          <w:numId w:val="15"/>
        </w:numPr>
        <w:spacing w:before="120" w:after="120" w:line="276" w:lineRule="auto"/>
        <w:ind w:left="425" w:firstLine="0"/>
        <w:jc w:val="both"/>
        <w:rPr>
          <w:i/>
          <w:szCs w:val="20"/>
        </w:rPr>
      </w:pPr>
      <w:r>
        <w:rPr>
          <w:szCs w:val="20"/>
        </w:rPr>
        <w:t>As penalidades serão obrigatoriamente registradas no SICAF.</w:t>
      </w:r>
    </w:p>
    <w:p>
      <w:pPr>
        <w:numPr>
          <w:ilvl w:val="0"/>
          <w:numId w:val="0"/>
        </w:numPr>
        <w:spacing w:before="120" w:after="120" w:line="276" w:lineRule="auto"/>
        <w:jc w:val="both"/>
        <w:rPr>
          <w:i/>
          <w:szCs w:val="20"/>
        </w:rPr>
      </w:pPr>
    </w:p>
    <w:p>
      <w:pPr>
        <w:spacing w:after="360"/>
        <w:ind w:left="360"/>
        <w:rPr>
          <w:szCs w:val="20"/>
        </w:rPr>
      </w:pPr>
      <w:r>
        <w:rPr>
          <w:i/>
          <w:color w:val="FF0000"/>
          <w:szCs w:val="20"/>
          <w:lang w:val="pt-BR"/>
        </w:rPr>
        <w:t>Estância</w:t>
      </w:r>
      <w:r>
        <w:rPr>
          <w:i/>
          <w:color w:val="FF0000"/>
          <w:szCs w:val="20"/>
        </w:rPr>
        <w:t xml:space="preserve"> de</w:t>
      </w:r>
      <w:r>
        <w:rPr>
          <w:bCs/>
          <w:color w:val="FF0000"/>
          <w:szCs w:val="20"/>
        </w:rPr>
        <w:t xml:space="preserve"> </w:t>
      </w:r>
      <w:r>
        <w:rPr>
          <w:szCs w:val="20"/>
        </w:rPr>
        <w:t xml:space="preserve">, </w:t>
      </w:r>
      <w:r>
        <w:rPr>
          <w:szCs w:val="20"/>
          <w:lang w:val="pt-BR"/>
        </w:rPr>
        <w:t>14</w:t>
      </w:r>
      <w:r>
        <w:rPr>
          <w:szCs w:val="20"/>
        </w:rPr>
        <w:t xml:space="preserve"> de </w:t>
      </w:r>
      <w:r>
        <w:rPr>
          <w:szCs w:val="20"/>
          <w:lang w:val="pt-BR"/>
        </w:rPr>
        <w:t>março</w:t>
      </w:r>
      <w:r>
        <w:rPr>
          <w:szCs w:val="20"/>
        </w:rPr>
        <w:t xml:space="preserve"> de </w:t>
      </w:r>
      <w:r>
        <w:rPr>
          <w:szCs w:val="20"/>
          <w:lang w:val="pt-BR"/>
        </w:rPr>
        <w:t>2019</w:t>
      </w:r>
      <w:r>
        <w:rPr>
          <w:color w:val="FF0000"/>
          <w:szCs w:val="20"/>
        </w:rPr>
        <w:t xml:space="preserve"> </w:t>
      </w:r>
    </w:p>
    <w:p>
      <w:pPr>
        <w:spacing w:before="120" w:after="120" w:line="276" w:lineRule="auto"/>
        <w:ind w:left="425"/>
        <w:jc w:val="both"/>
        <w:rPr>
          <w:rFonts w:cs="Arial"/>
          <w:i/>
          <w:szCs w:val="20"/>
          <w:lang w:val="zh-CN"/>
        </w:rPr>
      </w:pPr>
    </w:p>
    <w:p>
      <w:pPr>
        <w:spacing w:after="360"/>
        <w:ind w:left="360"/>
        <w:rPr>
          <w:szCs w:val="20"/>
        </w:rPr>
      </w:pPr>
    </w:p>
    <w:p>
      <w:pPr>
        <w:ind w:left="357"/>
        <w:rPr>
          <w:szCs w:val="20"/>
          <w:lang w:val="pt-BR"/>
        </w:rPr>
      </w:pPr>
      <w:r>
        <w:rPr>
          <w:szCs w:val="20"/>
          <w:lang w:val="pt-BR"/>
        </w:rPr>
        <w:t>Lais dos Santos</w:t>
      </w:r>
    </w:p>
    <w:p>
      <w:pPr>
        <w:ind w:left="357"/>
        <w:rPr>
          <w:szCs w:val="20"/>
        </w:rPr>
      </w:pPr>
      <w:r>
        <w:rPr>
          <w:szCs w:val="20"/>
        </w:rPr>
        <w:t>Gerente de Administração</w:t>
      </w:r>
    </w:p>
    <w:p>
      <w:pPr>
        <w:snapToGrid w:val="0"/>
        <w:spacing w:line="100" w:lineRule="atLeast"/>
        <w:jc w:val="both"/>
        <w:rPr>
          <w:szCs w:val="20"/>
          <w:lang w:val="zh-CN"/>
        </w:rPr>
      </w:pPr>
      <w:r>
        <w:rPr>
          <w:szCs w:val="20"/>
        </w:rPr>
        <mc:AlternateContent>
          <mc:Choice Requires="wps">
            <w:drawing>
              <wp:anchor distT="0" distB="0" distL="114300" distR="114300" simplePos="0" relativeHeight="251658240" behindDoc="0" locked="0" layoutInCell="1" allowOverlap="1">
                <wp:simplePos x="0" y="0"/>
                <wp:positionH relativeFrom="column">
                  <wp:posOffset>1518920</wp:posOffset>
                </wp:positionH>
                <wp:positionV relativeFrom="paragraph">
                  <wp:posOffset>774065</wp:posOffset>
                </wp:positionV>
                <wp:extent cx="3542665" cy="1612900"/>
                <wp:effectExtent l="4445" t="4445" r="15240" b="20955"/>
                <wp:wrapNone/>
                <wp:docPr id="1" name="Caixa de texto 2"/>
                <wp:cNvGraphicFramePr/>
                <a:graphic xmlns:a="http://schemas.openxmlformats.org/drawingml/2006/main">
                  <a:graphicData uri="http://schemas.microsoft.com/office/word/2010/wordprocessingShape">
                    <wps:wsp>
                      <wps:cNvSpPr txBox="1"/>
                      <wps:spPr>
                        <a:xfrm>
                          <a:off x="0" y="0"/>
                          <a:ext cx="3542665" cy="1612900"/>
                        </a:xfrm>
                        <a:prstGeom prst="rect">
                          <a:avLst/>
                        </a:prstGeom>
                        <a:solidFill>
                          <a:srgbClr val="FFFFFF"/>
                        </a:solidFill>
                        <a:ln w="6350" cap="flat" cmpd="sng">
                          <a:solidFill>
                            <a:srgbClr val="000000"/>
                          </a:solidFill>
                          <a:prstDash val="solid"/>
                          <a:miter/>
                          <a:headEnd type="none" w="med" len="med"/>
                          <a:tailEnd type="none" w="med" len="med"/>
                        </a:ln>
                      </wps:spPr>
                      <wps:txbx>
                        <w:txbxContent>
                          <w:p>
                            <w:pPr>
                              <w:snapToGrid w:val="0"/>
                              <w:spacing w:line="100" w:lineRule="atLeast"/>
                              <w:jc w:val="center"/>
                              <w:rPr>
                                <w:b/>
                                <w:sz w:val="22"/>
                                <w:szCs w:val="22"/>
                              </w:rPr>
                            </w:pPr>
                            <w:r>
                              <w:rPr>
                                <w:b/>
                                <w:sz w:val="22"/>
                                <w:szCs w:val="22"/>
                              </w:rPr>
                              <w:t>APROVAÇÃO DO TERMO DE REFERÊNCIA</w:t>
                            </w:r>
                          </w:p>
                          <w:p>
                            <w:pPr>
                              <w:spacing w:before="280" w:line="100" w:lineRule="atLeast"/>
                              <w:jc w:val="center"/>
                              <w:rPr>
                                <w:sz w:val="22"/>
                                <w:szCs w:val="22"/>
                              </w:rPr>
                            </w:pPr>
                            <w:r>
                              <w:rPr>
                                <w:sz w:val="22"/>
                                <w:szCs w:val="22"/>
                              </w:rPr>
                              <w:t>(      ) Aprovado (      ) Não Aprovado</w:t>
                            </w:r>
                          </w:p>
                          <w:p>
                            <w:pPr>
                              <w:spacing w:before="280" w:line="100" w:lineRule="atLeast"/>
                              <w:jc w:val="center"/>
                              <w:rPr>
                                <w:sz w:val="22"/>
                                <w:szCs w:val="22"/>
                              </w:rPr>
                            </w:pPr>
                            <w:r>
                              <w:rPr>
                                <w:sz w:val="22"/>
                                <w:szCs w:val="22"/>
                              </w:rPr>
                              <w:t>Data:___ / ___/ ______</w:t>
                            </w:r>
                          </w:p>
                          <w:p>
                            <w:pPr>
                              <w:spacing w:after="120" w:line="276" w:lineRule="auto"/>
                              <w:ind w:right="-15" w:firstLine="720"/>
                              <w:jc w:val="center"/>
                              <w:rPr>
                                <w:rFonts w:cs="Times New Roman"/>
                                <w:color w:val="000000"/>
                                <w:szCs w:val="20"/>
                                <w:lang w:val="pt-BR"/>
                              </w:rPr>
                            </w:pPr>
                          </w:p>
                          <w:p>
                            <w:pPr>
                              <w:spacing w:after="120" w:line="276" w:lineRule="auto"/>
                              <w:ind w:right="-15" w:firstLine="1300" w:firstLineChars="650"/>
                              <w:jc w:val="both"/>
                              <w:rPr>
                                <w:rFonts w:cs="Times New Roman"/>
                                <w:color w:val="000000"/>
                                <w:szCs w:val="20"/>
                                <w:lang w:val="pt-BR"/>
                              </w:rPr>
                            </w:pPr>
                            <w:r>
                              <w:rPr>
                                <w:rFonts w:cs="Times New Roman"/>
                                <w:color w:val="000000"/>
                                <w:szCs w:val="20"/>
                                <w:lang w:val="pt-BR"/>
                              </w:rPr>
                              <w:t>Sônia Pinto de Albuquerque Melo</w:t>
                            </w:r>
                          </w:p>
                          <w:p>
                            <w:pPr>
                              <w:spacing w:after="120" w:line="276" w:lineRule="auto"/>
                              <w:ind w:right="-15" w:firstLine="1119" w:firstLineChars="559"/>
                              <w:jc w:val="both"/>
                              <w:rPr>
                                <w:rFonts w:cs="Times New Roman"/>
                                <w:b/>
                                <w:bCs/>
                                <w:color w:val="000000"/>
                                <w:szCs w:val="20"/>
                                <w:lang w:val="pt-BR"/>
                              </w:rPr>
                            </w:pPr>
                            <w:r>
                              <w:rPr>
                                <w:rFonts w:cs="Times New Roman"/>
                                <w:b/>
                                <w:bCs/>
                                <w:color w:val="000000"/>
                                <w:szCs w:val="20"/>
                                <w:lang w:val="pt-BR"/>
                              </w:rPr>
                              <w:t>Diretora Geral do Campus Estância</w:t>
                            </w:r>
                          </w:p>
                          <w:p>
                            <w:pPr>
                              <w:spacing w:before="280" w:line="100" w:lineRule="atLeast"/>
                              <w:jc w:val="center"/>
                              <w:rPr>
                                <w:sz w:val="22"/>
                                <w:szCs w:val="22"/>
                                <w:lang w:val="pt-BR"/>
                              </w:rPr>
                            </w:pPr>
                          </w:p>
                        </w:txbxContent>
                      </wps:txbx>
                      <wps:bodyPr lIns="94615" tIns="48895" rIns="94615" bIns="48895" upright="1"/>
                    </wps:wsp>
                  </a:graphicData>
                </a:graphic>
              </wp:anchor>
            </w:drawing>
          </mc:Choice>
          <mc:Fallback>
            <w:pict>
              <v:shape id="Caixa de texto 2" o:spid="_x0000_s1026" o:spt="202" type="#_x0000_t202" style="position:absolute;left:0pt;margin-left:119.6pt;margin-top:60.95pt;height:127pt;width:278.95pt;z-index:251658240;mso-width-relative:page;mso-height-relative:page;" fillcolor="#FFFFFF" filled="t" stroked="t" coordsize="21600,21600" o:gfxdata="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q3zi2AAAAAsBAAAPAAAAAAAAAAEAIAAAACIAAABkcnMvZG93&#10;bnJldi54bWxQSwECFAAUAAAACACHTuJAiQCXqAACAAAiBAAADgAAAAAAAAABACAAAAAnAQAAZHJz&#10;L2Uyb0RvYy54bWxQSwUGAAAAAAYABgBZAQAAmQUAAAAA&#10;">
                <v:fill on="t" focussize="0,0"/>
                <v:stroke weight="0.5pt" color="#000000" joinstyle="miter"/>
                <v:imagedata o:title=""/>
                <o:lock v:ext="edit" aspectratio="f"/>
                <v:textbox inset="7.45pt,3.85pt,7.45pt,3.85pt">
                  <w:txbxContent>
                    <w:p>
                      <w:pPr>
                        <w:snapToGrid w:val="0"/>
                        <w:spacing w:line="100" w:lineRule="atLeast"/>
                        <w:jc w:val="center"/>
                        <w:rPr>
                          <w:b/>
                          <w:sz w:val="22"/>
                          <w:szCs w:val="22"/>
                        </w:rPr>
                      </w:pPr>
                      <w:r>
                        <w:rPr>
                          <w:b/>
                          <w:sz w:val="22"/>
                          <w:szCs w:val="22"/>
                        </w:rPr>
                        <w:t>APROVAÇÃO DO TERMO DE REFERÊNCIA</w:t>
                      </w:r>
                    </w:p>
                    <w:p>
                      <w:pPr>
                        <w:spacing w:before="280" w:line="100" w:lineRule="atLeast"/>
                        <w:jc w:val="center"/>
                        <w:rPr>
                          <w:sz w:val="22"/>
                          <w:szCs w:val="22"/>
                        </w:rPr>
                      </w:pPr>
                      <w:r>
                        <w:rPr>
                          <w:sz w:val="22"/>
                          <w:szCs w:val="22"/>
                        </w:rPr>
                        <w:t>(      ) Aprovado (      ) Não Aprovado</w:t>
                      </w:r>
                    </w:p>
                    <w:p>
                      <w:pPr>
                        <w:spacing w:before="280" w:line="100" w:lineRule="atLeast"/>
                        <w:jc w:val="center"/>
                        <w:rPr>
                          <w:sz w:val="22"/>
                          <w:szCs w:val="22"/>
                        </w:rPr>
                      </w:pPr>
                      <w:r>
                        <w:rPr>
                          <w:sz w:val="22"/>
                          <w:szCs w:val="22"/>
                        </w:rPr>
                        <w:t>Data:___ / ___/ ______</w:t>
                      </w:r>
                    </w:p>
                    <w:p>
                      <w:pPr>
                        <w:spacing w:after="120" w:line="276" w:lineRule="auto"/>
                        <w:ind w:right="-15" w:firstLine="720"/>
                        <w:jc w:val="center"/>
                        <w:rPr>
                          <w:rFonts w:cs="Times New Roman"/>
                          <w:color w:val="000000"/>
                          <w:szCs w:val="20"/>
                          <w:lang w:val="pt-BR"/>
                        </w:rPr>
                      </w:pPr>
                    </w:p>
                    <w:p>
                      <w:pPr>
                        <w:spacing w:after="120" w:line="276" w:lineRule="auto"/>
                        <w:ind w:right="-15" w:firstLine="1300" w:firstLineChars="650"/>
                        <w:jc w:val="both"/>
                        <w:rPr>
                          <w:rFonts w:cs="Times New Roman"/>
                          <w:color w:val="000000"/>
                          <w:szCs w:val="20"/>
                          <w:lang w:val="pt-BR"/>
                        </w:rPr>
                      </w:pPr>
                      <w:r>
                        <w:rPr>
                          <w:rFonts w:cs="Times New Roman"/>
                          <w:color w:val="000000"/>
                          <w:szCs w:val="20"/>
                          <w:lang w:val="pt-BR"/>
                        </w:rPr>
                        <w:t>Sônia Pinto de Albuquerque Melo</w:t>
                      </w:r>
                    </w:p>
                    <w:p>
                      <w:pPr>
                        <w:spacing w:after="120" w:line="276" w:lineRule="auto"/>
                        <w:ind w:right="-15" w:firstLine="1119" w:firstLineChars="559"/>
                        <w:jc w:val="both"/>
                        <w:rPr>
                          <w:rFonts w:cs="Times New Roman"/>
                          <w:b/>
                          <w:bCs/>
                          <w:color w:val="000000"/>
                          <w:szCs w:val="20"/>
                          <w:lang w:val="pt-BR"/>
                        </w:rPr>
                      </w:pPr>
                      <w:r>
                        <w:rPr>
                          <w:rFonts w:cs="Times New Roman"/>
                          <w:b/>
                          <w:bCs/>
                          <w:color w:val="000000"/>
                          <w:szCs w:val="20"/>
                          <w:lang w:val="pt-BR"/>
                        </w:rPr>
                        <w:t>Diretora Geral do Campus Estância</w:t>
                      </w:r>
                    </w:p>
                    <w:p>
                      <w:pPr>
                        <w:spacing w:before="280" w:line="100" w:lineRule="atLeast"/>
                        <w:jc w:val="center"/>
                        <w:rPr>
                          <w:sz w:val="22"/>
                          <w:szCs w:val="22"/>
                          <w:lang w:val="pt-BR"/>
                        </w:rPr>
                      </w:pPr>
                    </w:p>
                  </w:txbxContent>
                </v:textbox>
              </v:shape>
            </w:pict>
          </mc:Fallback>
        </mc:AlternateContent>
      </w:r>
    </w:p>
    <w:sectPr>
      <w:footerReference r:id="rId3" w:type="default"/>
      <w:pgSz w:w="11906" w:h="16838"/>
      <w:pgMar w:top="1218" w:right="1134" w:bottom="1418"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00004FF" w:usb2="00000000" w:usb3="00000000" w:csb0="2000019F" w:csb1="00000000"/>
  </w:font>
  <w:font w:name="Ecofont_Spranq_eco_Sans">
    <w:altName w:val="Malgun Gothic"/>
    <w:panose1 w:val="00000000000000000000"/>
    <w:charset w:val="00"/>
    <w:family w:val="swiss"/>
    <w:pitch w:val="default"/>
    <w:sig w:usb0="00000000" w:usb1="00000000" w:usb2="00000000" w:usb3="00000000" w:csb0="00000001" w:csb1="00000000"/>
  </w:font>
  <w:font w:name="Wingdings">
    <w:panose1 w:val="05000000000000000000"/>
    <w:charset w:val="02"/>
    <w:family w:val="auto"/>
    <w:pitch w:val="default"/>
    <w:sig w:usb0="00000000" w:usb1="00000000" w:usb2="00000000" w:usb3="00000000" w:csb0="80000000" w:csb1="00000000"/>
  </w:font>
  <w:font w:name="Helvetica">
    <w:altName w:val="Arial"/>
    <w:panose1 w:val="020B0604020202020204"/>
    <w:charset w:val="00"/>
    <w:family w:val="swiss"/>
    <w:pitch w:val="default"/>
    <w:sig w:usb0="00000000" w:usb1="00000000" w:usb2="00000000" w:usb3="00000000" w:csb0="00000001"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Times New Roman" w:hAnsi="Times New Roman" w:cs="Times New Roman"/>
        <w:sz w:val="24"/>
      </w:rPr>
    </w:pPr>
    <w:r>
      <w:rPr>
        <w:rFonts w:ascii="Times New Roman" w:hAnsi="Times New Roman" w:cs="Times New Roman"/>
        <w:sz w:val="24"/>
      </w:rPr>
      <w:t xml:space="preserve">____________________________________________________________________ </w:t>
    </w:r>
  </w:p>
  <w:p>
    <w:pPr>
      <w:pStyle w:val="10"/>
      <w:rPr>
        <w:sz w:val="12"/>
        <w:szCs w:val="12"/>
      </w:rPr>
    </w:pPr>
    <w:r>
      <w:rPr>
        <w:sz w:val="12"/>
        <w:szCs w:val="12"/>
      </w:rPr>
      <w:t xml:space="preserve">Comissão Permanente de Modelos de Editais e Contratos Administrativos da Consultoria-Geral da União </w:t>
    </w:r>
  </w:p>
  <w:p>
    <w:pPr>
      <w:pStyle w:val="10"/>
      <w:rPr>
        <w:sz w:val="12"/>
        <w:szCs w:val="12"/>
      </w:rPr>
    </w:pPr>
    <w:r>
      <w:rPr>
        <w:sz w:val="12"/>
        <w:szCs w:val="12"/>
      </w:rPr>
      <w:t xml:space="preserve">Termo de Referência - Modelo para Pregão Eletrônico - SRP: Serviços Contínuos com dedicação exclusiva de mão de obra -49 </w:t>
    </w:r>
  </w:p>
  <w:p>
    <w:pPr>
      <w:pStyle w:val="10"/>
      <w:rPr>
        <w:sz w:val="12"/>
        <w:szCs w:val="12"/>
      </w:rPr>
    </w:pPr>
    <w:r>
      <w:rPr>
        <w:sz w:val="12"/>
        <w:szCs w:val="12"/>
      </w:rPr>
      <w:t>Atualização:  Outubro/2017</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tentative="0">
      <w:start w:val="1"/>
      <w:numFmt w:val="bullet"/>
      <w:pStyle w:val="7"/>
      <w:lvlText w:val=""/>
      <w:lvlJc w:val="left"/>
      <w:pPr>
        <w:tabs>
          <w:tab w:val="left" w:pos="1492"/>
        </w:tabs>
        <w:ind w:left="1492" w:hanging="360"/>
      </w:pPr>
      <w:rPr>
        <w:rFonts w:hint="default" w:ascii="Symbol" w:hAnsi="Symbol"/>
      </w:rPr>
    </w:lvl>
  </w:abstractNum>
  <w:abstractNum w:abstractNumId="1">
    <w:nsid w:val="00CD78C4"/>
    <w:multiLevelType w:val="multilevel"/>
    <w:tmpl w:val="00CD78C4"/>
    <w:lvl w:ilvl="0" w:tentative="0">
      <w:start w:val="19"/>
      <w:numFmt w:val="decimal"/>
      <w:lvlText w:val="%1"/>
      <w:lvlJc w:val="left"/>
      <w:pPr>
        <w:ind w:left="540" w:hanging="540"/>
      </w:pPr>
      <w:rPr>
        <w:rFonts w:hint="default"/>
      </w:rPr>
    </w:lvl>
    <w:lvl w:ilvl="1" w:tentative="0">
      <w:start w:val="1"/>
      <w:numFmt w:val="decimal"/>
      <w:lvlText w:val="%1.%2"/>
      <w:lvlJc w:val="left"/>
      <w:pPr>
        <w:ind w:left="1107" w:hanging="540"/>
      </w:pPr>
      <w:rPr>
        <w:rFonts w:hint="default"/>
        <w:i/>
      </w:rPr>
    </w:lvl>
    <w:lvl w:ilvl="2" w:tentative="0">
      <w:start w:val="1"/>
      <w:numFmt w:val="decimal"/>
      <w:lvlText w:val="%1.%2.%3"/>
      <w:lvlJc w:val="left"/>
      <w:pPr>
        <w:ind w:left="1854" w:hanging="720"/>
      </w:pPr>
      <w:rPr>
        <w:rFonts w:hint="default"/>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abstractNum w:abstractNumId="2">
    <w:nsid w:val="1D5C100D"/>
    <w:multiLevelType w:val="multilevel"/>
    <w:tmpl w:val="1D5C100D"/>
    <w:lvl w:ilvl="0" w:tentative="0">
      <w:start w:val="1"/>
      <w:numFmt w:val="decimal"/>
      <w:pStyle w:val="31"/>
      <w:lvlText w:val="%1."/>
      <w:lvlJc w:val="left"/>
      <w:pPr>
        <w:ind w:left="360" w:hanging="360"/>
      </w:pPr>
      <w:rPr>
        <w:rFonts w:hint="default"/>
      </w:rPr>
    </w:lvl>
    <w:lvl w:ilvl="1" w:tentative="0">
      <w:start w:val="1"/>
      <w:numFmt w:val="decimal"/>
      <w:lvlText w:val="%1.%2."/>
      <w:lvlJc w:val="left"/>
      <w:pPr>
        <w:ind w:left="432" w:hanging="432"/>
      </w:pPr>
      <w:rPr>
        <w:rFonts w:hint="default"/>
        <w:i w:val="0"/>
        <w:color w:val="auto"/>
      </w:rPr>
    </w:lvl>
    <w:lvl w:ilvl="2" w:tentative="0">
      <w:start w:val="1"/>
      <w:numFmt w:val="decimal"/>
      <w:lvlText w:val="%1.%2.%3."/>
      <w:lvlJc w:val="left"/>
      <w:pPr>
        <w:ind w:left="1497" w:hanging="504"/>
      </w:pPr>
      <w:rPr>
        <w:rFonts w:hint="default"/>
        <w:strike w:val="0"/>
      </w:rPr>
    </w:lvl>
    <w:lvl w:ilvl="3" w:tentative="0">
      <w:start w:val="1"/>
      <w:numFmt w:val="decimal"/>
      <w:lvlText w:val="%1.%2.%3.%4."/>
      <w:lvlJc w:val="left"/>
      <w:pPr>
        <w:ind w:left="1728" w:hanging="648"/>
      </w:pPr>
      <w:rPr>
        <w:rFonts w:hint="default"/>
        <w:i w:val="0"/>
        <w:strike w:val="0"/>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3">
    <w:nsid w:val="1F0C4027"/>
    <w:multiLevelType w:val="multilevel"/>
    <w:tmpl w:val="1F0C4027"/>
    <w:lvl w:ilvl="0" w:tentative="0">
      <w:start w:val="19"/>
      <w:numFmt w:val="decimal"/>
      <w:lvlText w:val="%1"/>
      <w:lvlJc w:val="left"/>
      <w:pPr>
        <w:ind w:left="540" w:hanging="540"/>
      </w:pPr>
      <w:rPr>
        <w:rFonts w:hint="default"/>
      </w:rPr>
    </w:lvl>
    <w:lvl w:ilvl="1" w:tentative="0">
      <w:start w:val="1"/>
      <w:numFmt w:val="decimal"/>
      <w:lvlText w:val="%1.%2"/>
      <w:lvlJc w:val="left"/>
      <w:pPr>
        <w:ind w:left="1107" w:hanging="540"/>
      </w:pPr>
      <w:rPr>
        <w:rFonts w:hint="default"/>
        <w:i/>
      </w:rPr>
    </w:lvl>
    <w:lvl w:ilvl="2" w:tentative="0">
      <w:start w:val="1"/>
      <w:numFmt w:val="decimal"/>
      <w:lvlText w:val="%1.%2.%3"/>
      <w:lvlJc w:val="left"/>
      <w:pPr>
        <w:ind w:left="1854" w:hanging="720"/>
      </w:pPr>
      <w:rPr>
        <w:rFonts w:hint="default"/>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abstractNum w:abstractNumId="4">
    <w:nsid w:val="20F21FD4"/>
    <w:multiLevelType w:val="multilevel"/>
    <w:tmpl w:val="20F21FD4"/>
    <w:lvl w:ilvl="0" w:tentative="0">
      <w:start w:val="19"/>
      <w:numFmt w:val="decimal"/>
      <w:lvlText w:val="%1"/>
      <w:lvlJc w:val="left"/>
      <w:pPr>
        <w:ind w:left="375" w:hanging="375"/>
      </w:pPr>
      <w:rPr>
        <w:rFonts w:hint="default"/>
      </w:rPr>
    </w:lvl>
    <w:lvl w:ilvl="1" w:tentative="0">
      <w:start w:val="6"/>
      <w:numFmt w:val="decimal"/>
      <w:lvlText w:val="%1.%2"/>
      <w:lvlJc w:val="left"/>
      <w:pPr>
        <w:ind w:left="800" w:hanging="375"/>
      </w:pPr>
      <w:rPr>
        <w:rFonts w:hint="default"/>
        <w:i w:val="0"/>
      </w:rPr>
    </w:lvl>
    <w:lvl w:ilvl="2" w:tentative="0">
      <w:start w:val="1"/>
      <w:numFmt w:val="decimal"/>
      <w:lvlText w:val="%1.%2.%3"/>
      <w:lvlJc w:val="left"/>
      <w:pPr>
        <w:ind w:left="1570" w:hanging="720"/>
      </w:pPr>
      <w:rPr>
        <w:rFonts w:hint="default"/>
      </w:rPr>
    </w:lvl>
    <w:lvl w:ilvl="3" w:tentative="0">
      <w:start w:val="1"/>
      <w:numFmt w:val="decimal"/>
      <w:lvlText w:val="%1.%2.%3.%4"/>
      <w:lvlJc w:val="left"/>
      <w:pPr>
        <w:ind w:left="1995" w:hanging="720"/>
      </w:pPr>
      <w:rPr>
        <w:rFonts w:hint="default"/>
      </w:rPr>
    </w:lvl>
    <w:lvl w:ilvl="4" w:tentative="0">
      <w:start w:val="1"/>
      <w:numFmt w:val="decimal"/>
      <w:lvlText w:val="%1.%2.%3.%4.%5"/>
      <w:lvlJc w:val="left"/>
      <w:pPr>
        <w:ind w:left="2780" w:hanging="1080"/>
      </w:pPr>
      <w:rPr>
        <w:rFonts w:hint="default"/>
      </w:rPr>
    </w:lvl>
    <w:lvl w:ilvl="5" w:tentative="0">
      <w:start w:val="1"/>
      <w:numFmt w:val="decimal"/>
      <w:lvlText w:val="%1.%2.%3.%4.%5.%6"/>
      <w:lvlJc w:val="left"/>
      <w:pPr>
        <w:ind w:left="3205" w:hanging="1080"/>
      </w:pPr>
      <w:rPr>
        <w:rFonts w:hint="default"/>
      </w:rPr>
    </w:lvl>
    <w:lvl w:ilvl="6" w:tentative="0">
      <w:start w:val="1"/>
      <w:numFmt w:val="decimal"/>
      <w:lvlText w:val="%1.%2.%3.%4.%5.%6.%7"/>
      <w:lvlJc w:val="left"/>
      <w:pPr>
        <w:ind w:left="3990" w:hanging="1440"/>
      </w:pPr>
      <w:rPr>
        <w:rFonts w:hint="default"/>
      </w:rPr>
    </w:lvl>
    <w:lvl w:ilvl="7" w:tentative="0">
      <w:start w:val="1"/>
      <w:numFmt w:val="decimal"/>
      <w:lvlText w:val="%1.%2.%3.%4.%5.%6.%7.%8"/>
      <w:lvlJc w:val="left"/>
      <w:pPr>
        <w:ind w:left="4415" w:hanging="1440"/>
      </w:pPr>
      <w:rPr>
        <w:rFonts w:hint="default"/>
      </w:rPr>
    </w:lvl>
    <w:lvl w:ilvl="8" w:tentative="0">
      <w:start w:val="1"/>
      <w:numFmt w:val="decimal"/>
      <w:lvlText w:val="%1.%2.%3.%4.%5.%6.%7.%8.%9"/>
      <w:lvlJc w:val="left"/>
      <w:pPr>
        <w:ind w:left="5200" w:hanging="1800"/>
      </w:pPr>
      <w:rPr>
        <w:rFonts w:hint="default"/>
      </w:rPr>
    </w:lvl>
  </w:abstractNum>
  <w:abstractNum w:abstractNumId="5">
    <w:nsid w:val="24406999"/>
    <w:multiLevelType w:val="multilevel"/>
    <w:tmpl w:val="24406999"/>
    <w:lvl w:ilvl="0" w:tentative="0">
      <w:start w:val="1"/>
      <w:numFmt w:val="lowerLetter"/>
      <w:lvlText w:val="%1)"/>
      <w:lvlJc w:val="left"/>
      <w:pPr>
        <w:ind w:left="1068" w:hanging="360"/>
      </w:pPr>
      <w:rPr>
        <w:rFonts w:hint="default"/>
      </w:rPr>
    </w:lvl>
    <w:lvl w:ilvl="1" w:tentative="0">
      <w:start w:val="1"/>
      <w:numFmt w:val="lowerLetter"/>
      <w:lvlText w:val="%2."/>
      <w:lvlJc w:val="left"/>
      <w:pPr>
        <w:ind w:left="1788" w:hanging="360"/>
      </w:pPr>
    </w:lvl>
    <w:lvl w:ilvl="2" w:tentative="0">
      <w:start w:val="1"/>
      <w:numFmt w:val="lowerRoman"/>
      <w:lvlText w:val="%3."/>
      <w:lvlJc w:val="right"/>
      <w:pPr>
        <w:ind w:left="2508" w:hanging="180"/>
      </w:pPr>
    </w:lvl>
    <w:lvl w:ilvl="3" w:tentative="0">
      <w:start w:val="1"/>
      <w:numFmt w:val="decimal"/>
      <w:lvlText w:val="%4."/>
      <w:lvlJc w:val="left"/>
      <w:pPr>
        <w:ind w:left="3228" w:hanging="360"/>
      </w:pPr>
    </w:lvl>
    <w:lvl w:ilvl="4" w:tentative="0">
      <w:start w:val="1"/>
      <w:numFmt w:val="lowerLetter"/>
      <w:lvlText w:val="%5."/>
      <w:lvlJc w:val="left"/>
      <w:pPr>
        <w:ind w:left="3948" w:hanging="360"/>
      </w:pPr>
    </w:lvl>
    <w:lvl w:ilvl="5" w:tentative="0">
      <w:start w:val="1"/>
      <w:numFmt w:val="lowerRoman"/>
      <w:lvlText w:val="%6."/>
      <w:lvlJc w:val="right"/>
      <w:pPr>
        <w:ind w:left="4668" w:hanging="180"/>
      </w:pPr>
    </w:lvl>
    <w:lvl w:ilvl="6" w:tentative="0">
      <w:start w:val="1"/>
      <w:numFmt w:val="decimal"/>
      <w:lvlText w:val="%7."/>
      <w:lvlJc w:val="left"/>
      <w:pPr>
        <w:ind w:left="5388" w:hanging="360"/>
      </w:pPr>
    </w:lvl>
    <w:lvl w:ilvl="7" w:tentative="0">
      <w:start w:val="1"/>
      <w:numFmt w:val="lowerLetter"/>
      <w:lvlText w:val="%8."/>
      <w:lvlJc w:val="left"/>
      <w:pPr>
        <w:ind w:left="6108" w:hanging="360"/>
      </w:pPr>
    </w:lvl>
    <w:lvl w:ilvl="8" w:tentative="0">
      <w:start w:val="1"/>
      <w:numFmt w:val="lowerRoman"/>
      <w:lvlText w:val="%9."/>
      <w:lvlJc w:val="right"/>
      <w:pPr>
        <w:ind w:left="6828" w:hanging="180"/>
      </w:pPr>
    </w:lvl>
  </w:abstractNum>
  <w:abstractNum w:abstractNumId="6">
    <w:nsid w:val="2C184EF7"/>
    <w:multiLevelType w:val="multilevel"/>
    <w:tmpl w:val="2C184EF7"/>
    <w:lvl w:ilvl="0" w:tentative="0">
      <w:start w:val="19"/>
      <w:numFmt w:val="decimal"/>
      <w:lvlText w:val="%1"/>
      <w:lvlJc w:val="left"/>
      <w:pPr>
        <w:ind w:left="540" w:hanging="540"/>
      </w:pPr>
      <w:rPr>
        <w:rFonts w:hint="default"/>
        <w:b/>
      </w:rPr>
    </w:lvl>
    <w:lvl w:ilvl="1" w:tentative="0">
      <w:start w:val="3"/>
      <w:numFmt w:val="decimal"/>
      <w:lvlText w:val="%1.%2"/>
      <w:lvlJc w:val="left"/>
      <w:pPr>
        <w:ind w:left="1152" w:hanging="540"/>
      </w:pPr>
      <w:rPr>
        <w:rFonts w:hint="default"/>
        <w:b/>
      </w:rPr>
    </w:lvl>
    <w:lvl w:ilvl="2" w:tentative="0">
      <w:start w:val="1"/>
      <w:numFmt w:val="decimal"/>
      <w:lvlText w:val="%1.%2.%3"/>
      <w:lvlJc w:val="left"/>
      <w:pPr>
        <w:ind w:left="1944" w:hanging="720"/>
      </w:pPr>
      <w:rPr>
        <w:rFonts w:hint="default"/>
        <w:b w:val="0"/>
      </w:rPr>
    </w:lvl>
    <w:lvl w:ilvl="3" w:tentative="0">
      <w:start w:val="1"/>
      <w:numFmt w:val="decimal"/>
      <w:lvlText w:val="%1.%2.%3.%4"/>
      <w:lvlJc w:val="left"/>
      <w:pPr>
        <w:ind w:left="2556" w:hanging="720"/>
      </w:pPr>
      <w:rPr>
        <w:rFonts w:hint="default"/>
        <w:b w:val="0"/>
      </w:rPr>
    </w:lvl>
    <w:lvl w:ilvl="4" w:tentative="0">
      <w:start w:val="1"/>
      <w:numFmt w:val="decimal"/>
      <w:lvlText w:val="%1.%2.%3.%4.%5"/>
      <w:lvlJc w:val="left"/>
      <w:pPr>
        <w:ind w:left="3528" w:hanging="1080"/>
      </w:pPr>
      <w:rPr>
        <w:rFonts w:hint="default"/>
        <w:b/>
      </w:rPr>
    </w:lvl>
    <w:lvl w:ilvl="5" w:tentative="0">
      <w:start w:val="1"/>
      <w:numFmt w:val="decimal"/>
      <w:lvlText w:val="%1.%2.%3.%4.%5.%6"/>
      <w:lvlJc w:val="left"/>
      <w:pPr>
        <w:ind w:left="4140" w:hanging="1080"/>
      </w:pPr>
      <w:rPr>
        <w:rFonts w:hint="default"/>
        <w:b/>
      </w:rPr>
    </w:lvl>
    <w:lvl w:ilvl="6" w:tentative="0">
      <w:start w:val="1"/>
      <w:numFmt w:val="decimal"/>
      <w:lvlText w:val="%1.%2.%3.%4.%5.%6.%7"/>
      <w:lvlJc w:val="left"/>
      <w:pPr>
        <w:ind w:left="5112" w:hanging="1440"/>
      </w:pPr>
      <w:rPr>
        <w:rFonts w:hint="default"/>
        <w:b/>
      </w:rPr>
    </w:lvl>
    <w:lvl w:ilvl="7" w:tentative="0">
      <w:start w:val="1"/>
      <w:numFmt w:val="decimal"/>
      <w:lvlText w:val="%1.%2.%3.%4.%5.%6.%7.%8"/>
      <w:lvlJc w:val="left"/>
      <w:pPr>
        <w:ind w:left="5724" w:hanging="1440"/>
      </w:pPr>
      <w:rPr>
        <w:rFonts w:hint="default"/>
        <w:b/>
      </w:rPr>
    </w:lvl>
    <w:lvl w:ilvl="8" w:tentative="0">
      <w:start w:val="1"/>
      <w:numFmt w:val="decimal"/>
      <w:lvlText w:val="%1.%2.%3.%4.%5.%6.%7.%8.%9"/>
      <w:lvlJc w:val="left"/>
      <w:pPr>
        <w:ind w:left="6696" w:hanging="1800"/>
      </w:pPr>
      <w:rPr>
        <w:rFonts w:hint="default"/>
        <w:b/>
      </w:rPr>
    </w:lvl>
  </w:abstractNum>
  <w:abstractNum w:abstractNumId="7">
    <w:nsid w:val="3DC852BF"/>
    <w:multiLevelType w:val="multilevel"/>
    <w:tmpl w:val="3DC852BF"/>
    <w:lvl w:ilvl="0" w:tentative="0">
      <w:start w:val="1"/>
      <w:numFmt w:val="lowerLetter"/>
      <w:lvlText w:val="%1)"/>
      <w:lvlJc w:val="left"/>
      <w:pPr>
        <w:ind w:left="1778" w:hanging="360"/>
      </w:pPr>
      <w:rPr>
        <w:rFonts w:hint="default"/>
      </w:rPr>
    </w:lvl>
    <w:lvl w:ilvl="1" w:tentative="0">
      <w:start w:val="1"/>
      <w:numFmt w:val="bullet"/>
      <w:lvlText w:val="o"/>
      <w:lvlJc w:val="left"/>
      <w:pPr>
        <w:ind w:left="1079" w:hanging="360"/>
      </w:pPr>
      <w:rPr>
        <w:rFonts w:hint="default" w:ascii="Courier New" w:hAnsi="Courier New" w:cs="Courier New"/>
      </w:rPr>
    </w:lvl>
    <w:lvl w:ilvl="2" w:tentative="0">
      <w:start w:val="1"/>
      <w:numFmt w:val="bullet"/>
      <w:lvlText w:val=""/>
      <w:lvlJc w:val="left"/>
      <w:pPr>
        <w:ind w:left="1799" w:hanging="360"/>
      </w:pPr>
      <w:rPr>
        <w:rFonts w:hint="default" w:ascii="Wingdings" w:hAnsi="Wingdings"/>
      </w:rPr>
    </w:lvl>
    <w:lvl w:ilvl="3" w:tentative="0">
      <w:start w:val="1"/>
      <w:numFmt w:val="bullet"/>
      <w:lvlText w:val=""/>
      <w:lvlJc w:val="left"/>
      <w:pPr>
        <w:ind w:left="2519" w:hanging="360"/>
      </w:pPr>
      <w:rPr>
        <w:rFonts w:hint="default" w:ascii="Symbol" w:hAnsi="Symbol"/>
      </w:rPr>
    </w:lvl>
    <w:lvl w:ilvl="4" w:tentative="0">
      <w:start w:val="1"/>
      <w:numFmt w:val="bullet"/>
      <w:lvlText w:val="o"/>
      <w:lvlJc w:val="left"/>
      <w:pPr>
        <w:ind w:left="3239" w:hanging="360"/>
      </w:pPr>
      <w:rPr>
        <w:rFonts w:hint="default" w:ascii="Courier New" w:hAnsi="Courier New" w:cs="Courier New"/>
      </w:rPr>
    </w:lvl>
    <w:lvl w:ilvl="5" w:tentative="0">
      <w:start w:val="1"/>
      <w:numFmt w:val="bullet"/>
      <w:lvlText w:val=""/>
      <w:lvlJc w:val="left"/>
      <w:pPr>
        <w:ind w:left="3959" w:hanging="360"/>
      </w:pPr>
      <w:rPr>
        <w:rFonts w:hint="default" w:ascii="Wingdings" w:hAnsi="Wingdings"/>
      </w:rPr>
    </w:lvl>
    <w:lvl w:ilvl="6" w:tentative="0">
      <w:start w:val="1"/>
      <w:numFmt w:val="bullet"/>
      <w:lvlText w:val=""/>
      <w:lvlJc w:val="left"/>
      <w:pPr>
        <w:ind w:left="4679" w:hanging="360"/>
      </w:pPr>
      <w:rPr>
        <w:rFonts w:hint="default" w:ascii="Symbol" w:hAnsi="Symbol"/>
      </w:rPr>
    </w:lvl>
    <w:lvl w:ilvl="7" w:tentative="0">
      <w:start w:val="1"/>
      <w:numFmt w:val="bullet"/>
      <w:lvlText w:val="o"/>
      <w:lvlJc w:val="left"/>
      <w:pPr>
        <w:ind w:left="5399" w:hanging="360"/>
      </w:pPr>
      <w:rPr>
        <w:rFonts w:hint="default" w:ascii="Courier New" w:hAnsi="Courier New" w:cs="Courier New"/>
      </w:rPr>
    </w:lvl>
    <w:lvl w:ilvl="8" w:tentative="0">
      <w:start w:val="1"/>
      <w:numFmt w:val="bullet"/>
      <w:lvlText w:val=""/>
      <w:lvlJc w:val="left"/>
      <w:pPr>
        <w:ind w:left="6119" w:hanging="360"/>
      </w:pPr>
      <w:rPr>
        <w:rFonts w:hint="default" w:ascii="Wingdings" w:hAnsi="Wingdings"/>
      </w:rPr>
    </w:lvl>
  </w:abstractNum>
  <w:abstractNum w:abstractNumId="8">
    <w:nsid w:val="44233892"/>
    <w:multiLevelType w:val="multilevel"/>
    <w:tmpl w:val="44233892"/>
    <w:lvl w:ilvl="0" w:tentative="0">
      <w:start w:val="1"/>
      <w:numFmt w:val="decimal"/>
      <w:lvlText w:val="%1."/>
      <w:lvlJc w:val="left"/>
      <w:pPr>
        <w:ind w:left="360" w:hanging="360"/>
      </w:pPr>
    </w:lvl>
    <w:lvl w:ilvl="1" w:tentative="0">
      <w:start w:val="1"/>
      <w:numFmt w:val="decimal"/>
      <w:lvlText w:val="%1.%2."/>
      <w:lvlJc w:val="left"/>
      <w:pPr>
        <w:ind w:left="792" w:hanging="432"/>
      </w:pPr>
    </w:lvl>
    <w:lvl w:ilvl="2" w:tentative="0">
      <w:start w:val="1"/>
      <w:numFmt w:val="decimal"/>
      <w:lvlText w:val="%1.%2.%3."/>
      <w:lvlJc w:val="left"/>
      <w:pPr>
        <w:ind w:left="1224"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53052A4C"/>
    <w:multiLevelType w:val="multilevel"/>
    <w:tmpl w:val="53052A4C"/>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58126C37"/>
    <w:multiLevelType w:val="multilevel"/>
    <w:tmpl w:val="58126C37"/>
    <w:lvl w:ilvl="0" w:tentative="0">
      <w:start w:val="1"/>
      <w:numFmt w:val="lowerLetter"/>
      <w:lvlText w:val="%1)"/>
      <w:lvlJc w:val="left"/>
      <w:pPr>
        <w:ind w:left="359" w:hanging="360"/>
      </w:pPr>
      <w:rPr>
        <w:rFonts w:hint="default"/>
        <w:color w:val="auto"/>
      </w:rPr>
    </w:lvl>
    <w:lvl w:ilvl="1" w:tentative="0">
      <w:start w:val="1"/>
      <w:numFmt w:val="bullet"/>
      <w:lvlText w:val="o"/>
      <w:lvlJc w:val="left"/>
      <w:pPr>
        <w:ind w:left="1079" w:hanging="360"/>
      </w:pPr>
      <w:rPr>
        <w:rFonts w:hint="default" w:ascii="Courier New" w:hAnsi="Courier New" w:cs="Courier New"/>
      </w:rPr>
    </w:lvl>
    <w:lvl w:ilvl="2" w:tentative="0">
      <w:start w:val="1"/>
      <w:numFmt w:val="bullet"/>
      <w:lvlText w:val=""/>
      <w:lvlJc w:val="left"/>
      <w:pPr>
        <w:ind w:left="1799" w:hanging="360"/>
      </w:pPr>
      <w:rPr>
        <w:rFonts w:hint="default" w:ascii="Wingdings" w:hAnsi="Wingdings"/>
      </w:rPr>
    </w:lvl>
    <w:lvl w:ilvl="3" w:tentative="0">
      <w:start w:val="1"/>
      <w:numFmt w:val="bullet"/>
      <w:lvlText w:val=""/>
      <w:lvlJc w:val="left"/>
      <w:pPr>
        <w:ind w:left="2519" w:hanging="360"/>
      </w:pPr>
      <w:rPr>
        <w:rFonts w:hint="default" w:ascii="Symbol" w:hAnsi="Symbol"/>
      </w:rPr>
    </w:lvl>
    <w:lvl w:ilvl="4" w:tentative="0">
      <w:start w:val="1"/>
      <w:numFmt w:val="bullet"/>
      <w:lvlText w:val="o"/>
      <w:lvlJc w:val="left"/>
      <w:pPr>
        <w:ind w:left="3239" w:hanging="360"/>
      </w:pPr>
      <w:rPr>
        <w:rFonts w:hint="default" w:ascii="Courier New" w:hAnsi="Courier New" w:cs="Courier New"/>
      </w:rPr>
    </w:lvl>
    <w:lvl w:ilvl="5" w:tentative="0">
      <w:start w:val="1"/>
      <w:numFmt w:val="bullet"/>
      <w:lvlText w:val=""/>
      <w:lvlJc w:val="left"/>
      <w:pPr>
        <w:ind w:left="3959" w:hanging="360"/>
      </w:pPr>
      <w:rPr>
        <w:rFonts w:hint="default" w:ascii="Wingdings" w:hAnsi="Wingdings"/>
      </w:rPr>
    </w:lvl>
    <w:lvl w:ilvl="6" w:tentative="0">
      <w:start w:val="1"/>
      <w:numFmt w:val="bullet"/>
      <w:lvlText w:val=""/>
      <w:lvlJc w:val="left"/>
      <w:pPr>
        <w:ind w:left="4679" w:hanging="360"/>
      </w:pPr>
      <w:rPr>
        <w:rFonts w:hint="default" w:ascii="Symbol" w:hAnsi="Symbol"/>
      </w:rPr>
    </w:lvl>
    <w:lvl w:ilvl="7" w:tentative="0">
      <w:start w:val="1"/>
      <w:numFmt w:val="bullet"/>
      <w:lvlText w:val="o"/>
      <w:lvlJc w:val="left"/>
      <w:pPr>
        <w:ind w:left="5399" w:hanging="360"/>
      </w:pPr>
      <w:rPr>
        <w:rFonts w:hint="default" w:ascii="Courier New" w:hAnsi="Courier New" w:cs="Courier New"/>
      </w:rPr>
    </w:lvl>
    <w:lvl w:ilvl="8" w:tentative="0">
      <w:start w:val="1"/>
      <w:numFmt w:val="bullet"/>
      <w:lvlText w:val=""/>
      <w:lvlJc w:val="left"/>
      <w:pPr>
        <w:ind w:left="6119" w:hanging="360"/>
      </w:pPr>
      <w:rPr>
        <w:rFonts w:hint="default" w:ascii="Wingdings" w:hAnsi="Wingdings"/>
      </w:rPr>
    </w:lvl>
  </w:abstractNum>
  <w:abstractNum w:abstractNumId="11">
    <w:nsid w:val="6AEF1D56"/>
    <w:multiLevelType w:val="multilevel"/>
    <w:tmpl w:val="6AEF1D56"/>
    <w:lvl w:ilvl="0" w:tentative="0">
      <w:start w:val="1"/>
      <w:numFmt w:val="lowerLetter"/>
      <w:lvlText w:val="%1)"/>
      <w:lvlJc w:val="left"/>
      <w:pPr>
        <w:ind w:left="359" w:hanging="360"/>
      </w:pPr>
      <w:rPr>
        <w:rFonts w:hint="default"/>
      </w:rPr>
    </w:lvl>
    <w:lvl w:ilvl="1" w:tentative="0">
      <w:start w:val="1"/>
      <w:numFmt w:val="bullet"/>
      <w:lvlText w:val="o"/>
      <w:lvlJc w:val="left"/>
      <w:pPr>
        <w:ind w:left="1079" w:hanging="360"/>
      </w:pPr>
      <w:rPr>
        <w:rFonts w:hint="default" w:ascii="Courier New" w:hAnsi="Courier New" w:cs="Courier New"/>
      </w:rPr>
    </w:lvl>
    <w:lvl w:ilvl="2" w:tentative="0">
      <w:start w:val="1"/>
      <w:numFmt w:val="bullet"/>
      <w:lvlText w:val=""/>
      <w:lvlJc w:val="left"/>
      <w:pPr>
        <w:ind w:left="1799" w:hanging="360"/>
      </w:pPr>
      <w:rPr>
        <w:rFonts w:hint="default" w:ascii="Wingdings" w:hAnsi="Wingdings"/>
      </w:rPr>
    </w:lvl>
    <w:lvl w:ilvl="3" w:tentative="0">
      <w:start w:val="1"/>
      <w:numFmt w:val="bullet"/>
      <w:lvlText w:val=""/>
      <w:lvlJc w:val="left"/>
      <w:pPr>
        <w:ind w:left="2519" w:hanging="360"/>
      </w:pPr>
      <w:rPr>
        <w:rFonts w:hint="default" w:ascii="Symbol" w:hAnsi="Symbol"/>
      </w:rPr>
    </w:lvl>
    <w:lvl w:ilvl="4" w:tentative="0">
      <w:start w:val="1"/>
      <w:numFmt w:val="bullet"/>
      <w:lvlText w:val="o"/>
      <w:lvlJc w:val="left"/>
      <w:pPr>
        <w:ind w:left="3239" w:hanging="360"/>
      </w:pPr>
      <w:rPr>
        <w:rFonts w:hint="default" w:ascii="Courier New" w:hAnsi="Courier New" w:cs="Courier New"/>
      </w:rPr>
    </w:lvl>
    <w:lvl w:ilvl="5" w:tentative="0">
      <w:start w:val="1"/>
      <w:numFmt w:val="bullet"/>
      <w:lvlText w:val=""/>
      <w:lvlJc w:val="left"/>
      <w:pPr>
        <w:ind w:left="3959" w:hanging="360"/>
      </w:pPr>
      <w:rPr>
        <w:rFonts w:hint="default" w:ascii="Wingdings" w:hAnsi="Wingdings"/>
      </w:rPr>
    </w:lvl>
    <w:lvl w:ilvl="6" w:tentative="0">
      <w:start w:val="1"/>
      <w:numFmt w:val="bullet"/>
      <w:lvlText w:val=""/>
      <w:lvlJc w:val="left"/>
      <w:pPr>
        <w:ind w:left="4679" w:hanging="360"/>
      </w:pPr>
      <w:rPr>
        <w:rFonts w:hint="default" w:ascii="Symbol" w:hAnsi="Symbol"/>
      </w:rPr>
    </w:lvl>
    <w:lvl w:ilvl="7" w:tentative="0">
      <w:start w:val="1"/>
      <w:numFmt w:val="bullet"/>
      <w:lvlText w:val="o"/>
      <w:lvlJc w:val="left"/>
      <w:pPr>
        <w:ind w:left="5399" w:hanging="360"/>
      </w:pPr>
      <w:rPr>
        <w:rFonts w:hint="default" w:ascii="Courier New" w:hAnsi="Courier New" w:cs="Courier New"/>
      </w:rPr>
    </w:lvl>
    <w:lvl w:ilvl="8" w:tentative="0">
      <w:start w:val="1"/>
      <w:numFmt w:val="bullet"/>
      <w:lvlText w:val=""/>
      <w:lvlJc w:val="left"/>
      <w:pPr>
        <w:ind w:left="6119" w:hanging="360"/>
      </w:pPr>
      <w:rPr>
        <w:rFonts w:hint="default" w:ascii="Wingdings" w:hAnsi="Wingdings"/>
      </w:rPr>
    </w:lvl>
  </w:abstractNum>
  <w:abstractNum w:abstractNumId="12">
    <w:nsid w:val="733624E6"/>
    <w:multiLevelType w:val="multilevel"/>
    <w:tmpl w:val="733624E6"/>
    <w:lvl w:ilvl="0" w:tentative="0">
      <w:start w:val="1"/>
      <w:numFmt w:val="lowerLetter"/>
      <w:lvlText w:val="%1)"/>
      <w:lvlJc w:val="left"/>
      <w:pPr>
        <w:ind w:left="1689" w:hanging="555"/>
      </w:pPr>
      <w:rPr>
        <w:rFonts w:hint="default"/>
      </w:rPr>
    </w:lvl>
    <w:lvl w:ilvl="1" w:tentative="0">
      <w:start w:val="1"/>
      <w:numFmt w:val="lowerLetter"/>
      <w:lvlText w:val="%2."/>
      <w:lvlJc w:val="left"/>
      <w:pPr>
        <w:ind w:left="2214" w:hanging="360"/>
      </w:pPr>
    </w:lvl>
    <w:lvl w:ilvl="2" w:tentative="0">
      <w:start w:val="1"/>
      <w:numFmt w:val="lowerRoman"/>
      <w:lvlText w:val="%3."/>
      <w:lvlJc w:val="right"/>
      <w:pPr>
        <w:ind w:left="2934" w:hanging="180"/>
      </w:pPr>
    </w:lvl>
    <w:lvl w:ilvl="3" w:tentative="0">
      <w:start w:val="1"/>
      <w:numFmt w:val="decimal"/>
      <w:lvlText w:val="%4."/>
      <w:lvlJc w:val="left"/>
      <w:pPr>
        <w:ind w:left="3654" w:hanging="360"/>
      </w:pPr>
    </w:lvl>
    <w:lvl w:ilvl="4" w:tentative="0">
      <w:start w:val="1"/>
      <w:numFmt w:val="lowerLetter"/>
      <w:lvlText w:val="%5."/>
      <w:lvlJc w:val="left"/>
      <w:pPr>
        <w:ind w:left="4374" w:hanging="360"/>
      </w:pPr>
    </w:lvl>
    <w:lvl w:ilvl="5" w:tentative="0">
      <w:start w:val="1"/>
      <w:numFmt w:val="lowerRoman"/>
      <w:lvlText w:val="%6."/>
      <w:lvlJc w:val="right"/>
      <w:pPr>
        <w:ind w:left="5094" w:hanging="180"/>
      </w:pPr>
    </w:lvl>
    <w:lvl w:ilvl="6" w:tentative="0">
      <w:start w:val="1"/>
      <w:numFmt w:val="decimal"/>
      <w:lvlText w:val="%7."/>
      <w:lvlJc w:val="left"/>
      <w:pPr>
        <w:ind w:left="5814" w:hanging="360"/>
      </w:pPr>
    </w:lvl>
    <w:lvl w:ilvl="7" w:tentative="0">
      <w:start w:val="1"/>
      <w:numFmt w:val="lowerLetter"/>
      <w:lvlText w:val="%8."/>
      <w:lvlJc w:val="left"/>
      <w:pPr>
        <w:ind w:left="6534" w:hanging="360"/>
      </w:pPr>
    </w:lvl>
    <w:lvl w:ilvl="8" w:tentative="0">
      <w:start w:val="1"/>
      <w:numFmt w:val="lowerRoman"/>
      <w:lvlText w:val="%9."/>
      <w:lvlJc w:val="right"/>
      <w:pPr>
        <w:ind w:left="7254" w:hanging="180"/>
      </w:pPr>
    </w:lvl>
  </w:abstractNum>
  <w:abstractNum w:abstractNumId="13">
    <w:nsid w:val="798E221F"/>
    <w:multiLevelType w:val="multilevel"/>
    <w:tmpl w:val="798E221F"/>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4">
    <w:nsid w:val="7B1D5D61"/>
    <w:multiLevelType w:val="multilevel"/>
    <w:tmpl w:val="7B1D5D61"/>
    <w:lvl w:ilvl="0" w:tentative="0">
      <w:start w:val="1"/>
      <w:numFmt w:val="lowerLetter"/>
      <w:lvlText w:val="%1)"/>
      <w:lvlJc w:val="left"/>
      <w:pPr>
        <w:ind w:left="359" w:hanging="360"/>
      </w:pPr>
      <w:rPr>
        <w:rFonts w:hint="default"/>
        <w:color w:val="auto"/>
      </w:rPr>
    </w:lvl>
    <w:lvl w:ilvl="1" w:tentative="0">
      <w:start w:val="1"/>
      <w:numFmt w:val="bullet"/>
      <w:lvlText w:val="o"/>
      <w:lvlJc w:val="left"/>
      <w:pPr>
        <w:ind w:left="1079" w:hanging="360"/>
      </w:pPr>
      <w:rPr>
        <w:rFonts w:hint="default" w:ascii="Courier New" w:hAnsi="Courier New" w:cs="Courier New"/>
      </w:rPr>
    </w:lvl>
    <w:lvl w:ilvl="2" w:tentative="0">
      <w:start w:val="1"/>
      <w:numFmt w:val="bullet"/>
      <w:lvlText w:val=""/>
      <w:lvlJc w:val="left"/>
      <w:pPr>
        <w:ind w:left="1799" w:hanging="360"/>
      </w:pPr>
      <w:rPr>
        <w:rFonts w:hint="default" w:ascii="Wingdings" w:hAnsi="Wingdings"/>
      </w:rPr>
    </w:lvl>
    <w:lvl w:ilvl="3" w:tentative="0">
      <w:start w:val="1"/>
      <w:numFmt w:val="bullet"/>
      <w:lvlText w:val=""/>
      <w:lvlJc w:val="left"/>
      <w:pPr>
        <w:ind w:left="2519" w:hanging="360"/>
      </w:pPr>
      <w:rPr>
        <w:rFonts w:hint="default" w:ascii="Symbol" w:hAnsi="Symbol"/>
      </w:rPr>
    </w:lvl>
    <w:lvl w:ilvl="4" w:tentative="0">
      <w:start w:val="1"/>
      <w:numFmt w:val="bullet"/>
      <w:lvlText w:val="o"/>
      <w:lvlJc w:val="left"/>
      <w:pPr>
        <w:ind w:left="3239" w:hanging="360"/>
      </w:pPr>
      <w:rPr>
        <w:rFonts w:hint="default" w:ascii="Courier New" w:hAnsi="Courier New" w:cs="Courier New"/>
      </w:rPr>
    </w:lvl>
    <w:lvl w:ilvl="5" w:tentative="0">
      <w:start w:val="1"/>
      <w:numFmt w:val="bullet"/>
      <w:lvlText w:val=""/>
      <w:lvlJc w:val="left"/>
      <w:pPr>
        <w:ind w:left="3959" w:hanging="360"/>
      </w:pPr>
      <w:rPr>
        <w:rFonts w:hint="default" w:ascii="Wingdings" w:hAnsi="Wingdings"/>
      </w:rPr>
    </w:lvl>
    <w:lvl w:ilvl="6" w:tentative="0">
      <w:start w:val="1"/>
      <w:numFmt w:val="bullet"/>
      <w:lvlText w:val=""/>
      <w:lvlJc w:val="left"/>
      <w:pPr>
        <w:ind w:left="4679" w:hanging="360"/>
      </w:pPr>
      <w:rPr>
        <w:rFonts w:hint="default" w:ascii="Symbol" w:hAnsi="Symbol"/>
      </w:rPr>
    </w:lvl>
    <w:lvl w:ilvl="7" w:tentative="0">
      <w:start w:val="1"/>
      <w:numFmt w:val="bullet"/>
      <w:lvlText w:val="o"/>
      <w:lvlJc w:val="left"/>
      <w:pPr>
        <w:ind w:left="5399" w:hanging="360"/>
      </w:pPr>
      <w:rPr>
        <w:rFonts w:hint="default" w:ascii="Courier New" w:hAnsi="Courier New" w:cs="Courier New"/>
      </w:rPr>
    </w:lvl>
    <w:lvl w:ilvl="8" w:tentative="0">
      <w:start w:val="1"/>
      <w:numFmt w:val="bullet"/>
      <w:lvlText w:val=""/>
      <w:lvlJc w:val="left"/>
      <w:pPr>
        <w:ind w:left="6119" w:hanging="360"/>
      </w:pPr>
      <w:rPr>
        <w:rFonts w:hint="default" w:ascii="Wingdings" w:hAnsi="Wingdings"/>
      </w:rPr>
    </w:lvl>
  </w:abstractNum>
  <w:num w:numId="1">
    <w:abstractNumId w:val="0"/>
  </w:num>
  <w:num w:numId="2">
    <w:abstractNumId w:val="2"/>
  </w:num>
  <w:num w:numId="3">
    <w:abstractNumId w:val="7"/>
  </w:num>
  <w:num w:numId="4">
    <w:abstractNumId w:val="11"/>
  </w:num>
  <w:num w:numId="5">
    <w:abstractNumId w:val="10"/>
  </w:num>
  <w:num w:numId="6">
    <w:abstractNumId w:val="9"/>
  </w:num>
  <w:num w:numId="7">
    <w:abstractNumId w:val="14"/>
  </w:num>
  <w:num w:numId="8">
    <w:abstractNumId w:val="12"/>
  </w:num>
  <w:num w:numId="9">
    <w:abstractNumId w:val="13"/>
  </w:num>
  <w:num w:numId="10">
    <w:abstractNumId w:val="8"/>
  </w:num>
  <w:num w:numId="11">
    <w:abstractNumId w:val="5"/>
  </w:num>
  <w:num w:numId="12">
    <w:abstractNumId w:val="1"/>
  </w:num>
  <w:num w:numId="13">
    <w:abstractNumId w:val="3"/>
  </w:num>
  <w:num w:numId="14">
    <w:abstractNumId w:val="6"/>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val="1"/>
  <w:bordersDoNotSurroundHeader w:val="0"/>
  <w:bordersDoNotSurroundFooter w:val="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567"/>
  <w:hyphenationZone w:val="425"/>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6E5"/>
    <w:rsid w:val="0000236D"/>
    <w:rsid w:val="00003298"/>
    <w:rsid w:val="000064E4"/>
    <w:rsid w:val="00006FE4"/>
    <w:rsid w:val="000113CB"/>
    <w:rsid w:val="0002260C"/>
    <w:rsid w:val="0002306D"/>
    <w:rsid w:val="000242C8"/>
    <w:rsid w:val="00024B78"/>
    <w:rsid w:val="00026788"/>
    <w:rsid w:val="00027155"/>
    <w:rsid w:val="000307E6"/>
    <w:rsid w:val="000318BA"/>
    <w:rsid w:val="00034A29"/>
    <w:rsid w:val="00040957"/>
    <w:rsid w:val="00047D73"/>
    <w:rsid w:val="00047FC7"/>
    <w:rsid w:val="00054146"/>
    <w:rsid w:val="00055152"/>
    <w:rsid w:val="00056433"/>
    <w:rsid w:val="00057D37"/>
    <w:rsid w:val="00060414"/>
    <w:rsid w:val="00062853"/>
    <w:rsid w:val="00063028"/>
    <w:rsid w:val="0006537A"/>
    <w:rsid w:val="000670EC"/>
    <w:rsid w:val="000677A2"/>
    <w:rsid w:val="000706C4"/>
    <w:rsid w:val="00070EA5"/>
    <w:rsid w:val="0007699D"/>
    <w:rsid w:val="00076CBC"/>
    <w:rsid w:val="000779C7"/>
    <w:rsid w:val="0008101B"/>
    <w:rsid w:val="00081098"/>
    <w:rsid w:val="00082976"/>
    <w:rsid w:val="00087EF2"/>
    <w:rsid w:val="0009021C"/>
    <w:rsid w:val="00090F5D"/>
    <w:rsid w:val="00092759"/>
    <w:rsid w:val="00094321"/>
    <w:rsid w:val="00096CB9"/>
    <w:rsid w:val="000A102A"/>
    <w:rsid w:val="000A1A7B"/>
    <w:rsid w:val="000A1B88"/>
    <w:rsid w:val="000A23DA"/>
    <w:rsid w:val="000A674F"/>
    <w:rsid w:val="000B7B55"/>
    <w:rsid w:val="000C123B"/>
    <w:rsid w:val="000C21AD"/>
    <w:rsid w:val="000C2C16"/>
    <w:rsid w:val="000C670A"/>
    <w:rsid w:val="000D2AC3"/>
    <w:rsid w:val="000E4A4B"/>
    <w:rsid w:val="000F1C1C"/>
    <w:rsid w:val="000F4088"/>
    <w:rsid w:val="000F411A"/>
    <w:rsid w:val="000F4F96"/>
    <w:rsid w:val="000F5A07"/>
    <w:rsid w:val="00100990"/>
    <w:rsid w:val="00102207"/>
    <w:rsid w:val="00104A79"/>
    <w:rsid w:val="00105707"/>
    <w:rsid w:val="0010670C"/>
    <w:rsid w:val="001103FF"/>
    <w:rsid w:val="00111036"/>
    <w:rsid w:val="00113EEB"/>
    <w:rsid w:val="00114259"/>
    <w:rsid w:val="001213C6"/>
    <w:rsid w:val="001219B0"/>
    <w:rsid w:val="00122A27"/>
    <w:rsid w:val="00124990"/>
    <w:rsid w:val="00126E1D"/>
    <w:rsid w:val="00130306"/>
    <w:rsid w:val="001304C0"/>
    <w:rsid w:val="001315F2"/>
    <w:rsid w:val="00133136"/>
    <w:rsid w:val="001334FA"/>
    <w:rsid w:val="001377C7"/>
    <w:rsid w:val="0014004B"/>
    <w:rsid w:val="0014325E"/>
    <w:rsid w:val="00143707"/>
    <w:rsid w:val="001449A3"/>
    <w:rsid w:val="00144F4E"/>
    <w:rsid w:val="00145EFA"/>
    <w:rsid w:val="00146BDF"/>
    <w:rsid w:val="001516EA"/>
    <w:rsid w:val="00153E25"/>
    <w:rsid w:val="00154505"/>
    <w:rsid w:val="001545A4"/>
    <w:rsid w:val="0015684D"/>
    <w:rsid w:val="00156F35"/>
    <w:rsid w:val="00160784"/>
    <w:rsid w:val="00160BBD"/>
    <w:rsid w:val="00160DA4"/>
    <w:rsid w:val="00161844"/>
    <w:rsid w:val="0016584A"/>
    <w:rsid w:val="001671BF"/>
    <w:rsid w:val="00170CE1"/>
    <w:rsid w:val="00173CBD"/>
    <w:rsid w:val="00174CAA"/>
    <w:rsid w:val="00177CD5"/>
    <w:rsid w:val="001817D2"/>
    <w:rsid w:val="00183C33"/>
    <w:rsid w:val="00184086"/>
    <w:rsid w:val="001904A8"/>
    <w:rsid w:val="001A0435"/>
    <w:rsid w:val="001A1732"/>
    <w:rsid w:val="001A2CE9"/>
    <w:rsid w:val="001A3A05"/>
    <w:rsid w:val="001A3E18"/>
    <w:rsid w:val="001A7EC9"/>
    <w:rsid w:val="001B005B"/>
    <w:rsid w:val="001B6DE5"/>
    <w:rsid w:val="001B7BE2"/>
    <w:rsid w:val="001C329F"/>
    <w:rsid w:val="001C3F32"/>
    <w:rsid w:val="001C4433"/>
    <w:rsid w:val="001C48B6"/>
    <w:rsid w:val="001C4C04"/>
    <w:rsid w:val="001C694F"/>
    <w:rsid w:val="001C721E"/>
    <w:rsid w:val="001D0D66"/>
    <w:rsid w:val="001E3AAF"/>
    <w:rsid w:val="001E5673"/>
    <w:rsid w:val="001E6526"/>
    <w:rsid w:val="001E65F6"/>
    <w:rsid w:val="001F0A6E"/>
    <w:rsid w:val="001F39FA"/>
    <w:rsid w:val="00202A04"/>
    <w:rsid w:val="00202D3A"/>
    <w:rsid w:val="00205197"/>
    <w:rsid w:val="0020593D"/>
    <w:rsid w:val="00206F5F"/>
    <w:rsid w:val="00207B98"/>
    <w:rsid w:val="00210001"/>
    <w:rsid w:val="0021106D"/>
    <w:rsid w:val="002211BB"/>
    <w:rsid w:val="00221BA5"/>
    <w:rsid w:val="00222359"/>
    <w:rsid w:val="00222980"/>
    <w:rsid w:val="002241A2"/>
    <w:rsid w:val="00224CFB"/>
    <w:rsid w:val="00225762"/>
    <w:rsid w:val="00225D21"/>
    <w:rsid w:val="002279BB"/>
    <w:rsid w:val="00230982"/>
    <w:rsid w:val="00231E9C"/>
    <w:rsid w:val="00232820"/>
    <w:rsid w:val="00235FC4"/>
    <w:rsid w:val="002360A9"/>
    <w:rsid w:val="002361A4"/>
    <w:rsid w:val="00240B17"/>
    <w:rsid w:val="00241D78"/>
    <w:rsid w:val="00246DAE"/>
    <w:rsid w:val="002538B4"/>
    <w:rsid w:val="002538E3"/>
    <w:rsid w:val="002539D4"/>
    <w:rsid w:val="00255C24"/>
    <w:rsid w:val="00260802"/>
    <w:rsid w:val="00260E3B"/>
    <w:rsid w:val="0026386A"/>
    <w:rsid w:val="00265AD7"/>
    <w:rsid w:val="00267125"/>
    <w:rsid w:val="00267B22"/>
    <w:rsid w:val="00270AFF"/>
    <w:rsid w:val="00271CB6"/>
    <w:rsid w:val="0027301A"/>
    <w:rsid w:val="00275A4D"/>
    <w:rsid w:val="00276ECC"/>
    <w:rsid w:val="002839F7"/>
    <w:rsid w:val="00283C0E"/>
    <w:rsid w:val="0028765E"/>
    <w:rsid w:val="0029037D"/>
    <w:rsid w:val="002937D4"/>
    <w:rsid w:val="002A08C8"/>
    <w:rsid w:val="002A186D"/>
    <w:rsid w:val="002C4545"/>
    <w:rsid w:val="002C54C1"/>
    <w:rsid w:val="002C7FE3"/>
    <w:rsid w:val="002D0027"/>
    <w:rsid w:val="002D226D"/>
    <w:rsid w:val="002D4183"/>
    <w:rsid w:val="002D5E6D"/>
    <w:rsid w:val="002D5FC1"/>
    <w:rsid w:val="002D656F"/>
    <w:rsid w:val="002D78B4"/>
    <w:rsid w:val="002D7C8E"/>
    <w:rsid w:val="002E044E"/>
    <w:rsid w:val="002E160F"/>
    <w:rsid w:val="002E1A76"/>
    <w:rsid w:val="002E3F91"/>
    <w:rsid w:val="002E480D"/>
    <w:rsid w:val="002E5F6B"/>
    <w:rsid w:val="002E6E63"/>
    <w:rsid w:val="002F084D"/>
    <w:rsid w:val="002F308B"/>
    <w:rsid w:val="002F61DA"/>
    <w:rsid w:val="002F6356"/>
    <w:rsid w:val="003053DD"/>
    <w:rsid w:val="00307E4B"/>
    <w:rsid w:val="00310B4A"/>
    <w:rsid w:val="0031762E"/>
    <w:rsid w:val="00320359"/>
    <w:rsid w:val="003238C3"/>
    <w:rsid w:val="00324BCD"/>
    <w:rsid w:val="00324F30"/>
    <w:rsid w:val="00325023"/>
    <w:rsid w:val="00325FD8"/>
    <w:rsid w:val="003265B9"/>
    <w:rsid w:val="00327232"/>
    <w:rsid w:val="00327E3F"/>
    <w:rsid w:val="00331182"/>
    <w:rsid w:val="003345CF"/>
    <w:rsid w:val="00336608"/>
    <w:rsid w:val="00336E28"/>
    <w:rsid w:val="00340EE0"/>
    <w:rsid w:val="00343032"/>
    <w:rsid w:val="003464AF"/>
    <w:rsid w:val="0035395E"/>
    <w:rsid w:val="0035658A"/>
    <w:rsid w:val="0036043D"/>
    <w:rsid w:val="00360B42"/>
    <w:rsid w:val="00364141"/>
    <w:rsid w:val="00364909"/>
    <w:rsid w:val="00367EF6"/>
    <w:rsid w:val="00373F2A"/>
    <w:rsid w:val="003779A2"/>
    <w:rsid w:val="0038139C"/>
    <w:rsid w:val="00386157"/>
    <w:rsid w:val="00386ADE"/>
    <w:rsid w:val="00387CF3"/>
    <w:rsid w:val="00391E14"/>
    <w:rsid w:val="003959F6"/>
    <w:rsid w:val="003A0A97"/>
    <w:rsid w:val="003A490D"/>
    <w:rsid w:val="003A5166"/>
    <w:rsid w:val="003A70C8"/>
    <w:rsid w:val="003A73C1"/>
    <w:rsid w:val="003B09C3"/>
    <w:rsid w:val="003B2449"/>
    <w:rsid w:val="003B791E"/>
    <w:rsid w:val="003C25D1"/>
    <w:rsid w:val="003C309D"/>
    <w:rsid w:val="003C4B47"/>
    <w:rsid w:val="003C609E"/>
    <w:rsid w:val="003C6275"/>
    <w:rsid w:val="003C76E5"/>
    <w:rsid w:val="003D6B09"/>
    <w:rsid w:val="003E058E"/>
    <w:rsid w:val="003E2D2A"/>
    <w:rsid w:val="003E40D9"/>
    <w:rsid w:val="003E4927"/>
    <w:rsid w:val="003E49E4"/>
    <w:rsid w:val="003E4D76"/>
    <w:rsid w:val="003E55B1"/>
    <w:rsid w:val="003F004A"/>
    <w:rsid w:val="003F1437"/>
    <w:rsid w:val="003F14CD"/>
    <w:rsid w:val="003F185C"/>
    <w:rsid w:val="003F36A3"/>
    <w:rsid w:val="003F403C"/>
    <w:rsid w:val="003F480E"/>
    <w:rsid w:val="003F605B"/>
    <w:rsid w:val="003F6E4B"/>
    <w:rsid w:val="004019DC"/>
    <w:rsid w:val="004028FB"/>
    <w:rsid w:val="00403FF4"/>
    <w:rsid w:val="0040443F"/>
    <w:rsid w:val="004053E1"/>
    <w:rsid w:val="00407F1C"/>
    <w:rsid w:val="00411F0D"/>
    <w:rsid w:val="00415EBB"/>
    <w:rsid w:val="00415F27"/>
    <w:rsid w:val="00416A59"/>
    <w:rsid w:val="00417A99"/>
    <w:rsid w:val="00417CA8"/>
    <w:rsid w:val="0042190C"/>
    <w:rsid w:val="00425359"/>
    <w:rsid w:val="004316D7"/>
    <w:rsid w:val="00431EDA"/>
    <w:rsid w:val="0043231C"/>
    <w:rsid w:val="00432470"/>
    <w:rsid w:val="00435447"/>
    <w:rsid w:val="00441EA1"/>
    <w:rsid w:val="00445798"/>
    <w:rsid w:val="0044725C"/>
    <w:rsid w:val="00447465"/>
    <w:rsid w:val="004536C6"/>
    <w:rsid w:val="00455CBE"/>
    <w:rsid w:val="00455EB7"/>
    <w:rsid w:val="00455FD5"/>
    <w:rsid w:val="00460E8A"/>
    <w:rsid w:val="00461DFB"/>
    <w:rsid w:val="0046230A"/>
    <w:rsid w:val="00462C95"/>
    <w:rsid w:val="0046486A"/>
    <w:rsid w:val="004648B5"/>
    <w:rsid w:val="00470FE7"/>
    <w:rsid w:val="00475CC8"/>
    <w:rsid w:val="004773FC"/>
    <w:rsid w:val="004774D7"/>
    <w:rsid w:val="00480328"/>
    <w:rsid w:val="0048095D"/>
    <w:rsid w:val="004834FC"/>
    <w:rsid w:val="00483B15"/>
    <w:rsid w:val="00483D96"/>
    <w:rsid w:val="00483FB9"/>
    <w:rsid w:val="00484044"/>
    <w:rsid w:val="00484BD8"/>
    <w:rsid w:val="00494AE7"/>
    <w:rsid w:val="0049533B"/>
    <w:rsid w:val="004B05B0"/>
    <w:rsid w:val="004B0CAC"/>
    <w:rsid w:val="004B19B5"/>
    <w:rsid w:val="004B1D7D"/>
    <w:rsid w:val="004B2EA6"/>
    <w:rsid w:val="004B460A"/>
    <w:rsid w:val="004C0212"/>
    <w:rsid w:val="004C05F9"/>
    <w:rsid w:val="004C4FCA"/>
    <w:rsid w:val="004D3B02"/>
    <w:rsid w:val="004D41F6"/>
    <w:rsid w:val="004D793C"/>
    <w:rsid w:val="004E0194"/>
    <w:rsid w:val="004E37BB"/>
    <w:rsid w:val="004E495D"/>
    <w:rsid w:val="004E578F"/>
    <w:rsid w:val="004E7BEB"/>
    <w:rsid w:val="004F2210"/>
    <w:rsid w:val="004F5DF9"/>
    <w:rsid w:val="004F66B4"/>
    <w:rsid w:val="004F78C6"/>
    <w:rsid w:val="005011B7"/>
    <w:rsid w:val="0050224C"/>
    <w:rsid w:val="005037A6"/>
    <w:rsid w:val="00512D53"/>
    <w:rsid w:val="00513B0B"/>
    <w:rsid w:val="00514883"/>
    <w:rsid w:val="005200A5"/>
    <w:rsid w:val="00523C55"/>
    <w:rsid w:val="00523F32"/>
    <w:rsid w:val="00530489"/>
    <w:rsid w:val="0053132E"/>
    <w:rsid w:val="00561C04"/>
    <w:rsid w:val="0056213B"/>
    <w:rsid w:val="00562F82"/>
    <w:rsid w:val="00564913"/>
    <w:rsid w:val="005719BB"/>
    <w:rsid w:val="00571F84"/>
    <w:rsid w:val="0057644C"/>
    <w:rsid w:val="00577C4E"/>
    <w:rsid w:val="005800D8"/>
    <w:rsid w:val="005846C9"/>
    <w:rsid w:val="00585282"/>
    <w:rsid w:val="00585C83"/>
    <w:rsid w:val="00585F85"/>
    <w:rsid w:val="005873FC"/>
    <w:rsid w:val="00590EAF"/>
    <w:rsid w:val="00595DA6"/>
    <w:rsid w:val="00597802"/>
    <w:rsid w:val="005A3BE7"/>
    <w:rsid w:val="005A4FC1"/>
    <w:rsid w:val="005A6A91"/>
    <w:rsid w:val="005B0066"/>
    <w:rsid w:val="005B1D0B"/>
    <w:rsid w:val="005C3930"/>
    <w:rsid w:val="005C48E3"/>
    <w:rsid w:val="005C76D8"/>
    <w:rsid w:val="005E1321"/>
    <w:rsid w:val="005E2DD4"/>
    <w:rsid w:val="005E3CBE"/>
    <w:rsid w:val="005E5F39"/>
    <w:rsid w:val="005E632B"/>
    <w:rsid w:val="005E6D43"/>
    <w:rsid w:val="005F5E67"/>
    <w:rsid w:val="005F6F64"/>
    <w:rsid w:val="005F7B0A"/>
    <w:rsid w:val="005F7E84"/>
    <w:rsid w:val="00605C11"/>
    <w:rsid w:val="00606440"/>
    <w:rsid w:val="006078C2"/>
    <w:rsid w:val="0061391C"/>
    <w:rsid w:val="00614B05"/>
    <w:rsid w:val="006171A9"/>
    <w:rsid w:val="0062287A"/>
    <w:rsid w:val="00622D7E"/>
    <w:rsid w:val="00623436"/>
    <w:rsid w:val="0063180A"/>
    <w:rsid w:val="00634314"/>
    <w:rsid w:val="00640F39"/>
    <w:rsid w:val="00643246"/>
    <w:rsid w:val="006507D0"/>
    <w:rsid w:val="00651AA0"/>
    <w:rsid w:val="00655AAF"/>
    <w:rsid w:val="00656A30"/>
    <w:rsid w:val="00656AB0"/>
    <w:rsid w:val="0066451B"/>
    <w:rsid w:val="006673E7"/>
    <w:rsid w:val="00674964"/>
    <w:rsid w:val="00680B7E"/>
    <w:rsid w:val="00683124"/>
    <w:rsid w:val="00683B94"/>
    <w:rsid w:val="00686692"/>
    <w:rsid w:val="00693033"/>
    <w:rsid w:val="00693321"/>
    <w:rsid w:val="00694893"/>
    <w:rsid w:val="00694DD9"/>
    <w:rsid w:val="0069603B"/>
    <w:rsid w:val="0069651B"/>
    <w:rsid w:val="006A12B1"/>
    <w:rsid w:val="006A44B2"/>
    <w:rsid w:val="006A5F42"/>
    <w:rsid w:val="006A6103"/>
    <w:rsid w:val="006B10ED"/>
    <w:rsid w:val="006B156A"/>
    <w:rsid w:val="006B1F8D"/>
    <w:rsid w:val="006B366A"/>
    <w:rsid w:val="006B51B2"/>
    <w:rsid w:val="006B5DE9"/>
    <w:rsid w:val="006C17A0"/>
    <w:rsid w:val="006C1F43"/>
    <w:rsid w:val="006C6C26"/>
    <w:rsid w:val="006D27E3"/>
    <w:rsid w:val="006D4135"/>
    <w:rsid w:val="006D75D3"/>
    <w:rsid w:val="006E09F2"/>
    <w:rsid w:val="006E2BF6"/>
    <w:rsid w:val="006E721C"/>
    <w:rsid w:val="006F3EE2"/>
    <w:rsid w:val="006F6679"/>
    <w:rsid w:val="006F66ED"/>
    <w:rsid w:val="00700CBD"/>
    <w:rsid w:val="007028C7"/>
    <w:rsid w:val="00704462"/>
    <w:rsid w:val="00706925"/>
    <w:rsid w:val="0070743B"/>
    <w:rsid w:val="00710B52"/>
    <w:rsid w:val="00710C7E"/>
    <w:rsid w:val="00712378"/>
    <w:rsid w:val="0071652A"/>
    <w:rsid w:val="00733DE0"/>
    <w:rsid w:val="007357C5"/>
    <w:rsid w:val="00737DAB"/>
    <w:rsid w:val="0074032D"/>
    <w:rsid w:val="00740D25"/>
    <w:rsid w:val="00741328"/>
    <w:rsid w:val="007452AA"/>
    <w:rsid w:val="00745C1F"/>
    <w:rsid w:val="00752569"/>
    <w:rsid w:val="00754828"/>
    <w:rsid w:val="00756F76"/>
    <w:rsid w:val="007679B9"/>
    <w:rsid w:val="007701A1"/>
    <w:rsid w:val="00773BCC"/>
    <w:rsid w:val="00776572"/>
    <w:rsid w:val="0077738D"/>
    <w:rsid w:val="007774C2"/>
    <w:rsid w:val="00780AA1"/>
    <w:rsid w:val="00783442"/>
    <w:rsid w:val="00784F62"/>
    <w:rsid w:val="00787D28"/>
    <w:rsid w:val="0079000C"/>
    <w:rsid w:val="00790D93"/>
    <w:rsid w:val="00791CD7"/>
    <w:rsid w:val="0079430D"/>
    <w:rsid w:val="0079754C"/>
    <w:rsid w:val="0079792E"/>
    <w:rsid w:val="007A1395"/>
    <w:rsid w:val="007A5F4A"/>
    <w:rsid w:val="007B19CE"/>
    <w:rsid w:val="007B4A7C"/>
    <w:rsid w:val="007B6432"/>
    <w:rsid w:val="007B7C23"/>
    <w:rsid w:val="007C0255"/>
    <w:rsid w:val="007C09C8"/>
    <w:rsid w:val="007C0C22"/>
    <w:rsid w:val="007C13ED"/>
    <w:rsid w:val="007C2707"/>
    <w:rsid w:val="007C36F0"/>
    <w:rsid w:val="007C4ACF"/>
    <w:rsid w:val="007D3572"/>
    <w:rsid w:val="007D501A"/>
    <w:rsid w:val="007D6286"/>
    <w:rsid w:val="007E3DA1"/>
    <w:rsid w:val="007E3F65"/>
    <w:rsid w:val="007E4863"/>
    <w:rsid w:val="007E5253"/>
    <w:rsid w:val="007E57A5"/>
    <w:rsid w:val="007E585A"/>
    <w:rsid w:val="007E68F6"/>
    <w:rsid w:val="007E6EF9"/>
    <w:rsid w:val="007F0511"/>
    <w:rsid w:val="007F2AE5"/>
    <w:rsid w:val="007F6AB0"/>
    <w:rsid w:val="0080329B"/>
    <w:rsid w:val="00803805"/>
    <w:rsid w:val="0080582D"/>
    <w:rsid w:val="0080756C"/>
    <w:rsid w:val="008175D1"/>
    <w:rsid w:val="00822758"/>
    <w:rsid w:val="00822B5A"/>
    <w:rsid w:val="00831204"/>
    <w:rsid w:val="00831208"/>
    <w:rsid w:val="00832A01"/>
    <w:rsid w:val="00835A02"/>
    <w:rsid w:val="00841F35"/>
    <w:rsid w:val="008429CF"/>
    <w:rsid w:val="008440ED"/>
    <w:rsid w:val="008446E2"/>
    <w:rsid w:val="00847E19"/>
    <w:rsid w:val="00850CD3"/>
    <w:rsid w:val="0085112C"/>
    <w:rsid w:val="00855857"/>
    <w:rsid w:val="008601A9"/>
    <w:rsid w:val="00861824"/>
    <w:rsid w:val="00861E43"/>
    <w:rsid w:val="0086450A"/>
    <w:rsid w:val="0086588C"/>
    <w:rsid w:val="00865B0D"/>
    <w:rsid w:val="00866F68"/>
    <w:rsid w:val="00871B33"/>
    <w:rsid w:val="00872949"/>
    <w:rsid w:val="008729C2"/>
    <w:rsid w:val="00883AB3"/>
    <w:rsid w:val="0088616A"/>
    <w:rsid w:val="00886530"/>
    <w:rsid w:val="00887874"/>
    <w:rsid w:val="00890A88"/>
    <w:rsid w:val="008941DB"/>
    <w:rsid w:val="00894C85"/>
    <w:rsid w:val="00897C32"/>
    <w:rsid w:val="008A16EA"/>
    <w:rsid w:val="008A7148"/>
    <w:rsid w:val="008B6162"/>
    <w:rsid w:val="008C04DF"/>
    <w:rsid w:val="008C1971"/>
    <w:rsid w:val="008D2CAF"/>
    <w:rsid w:val="008D3ACE"/>
    <w:rsid w:val="008D51CC"/>
    <w:rsid w:val="008D78DF"/>
    <w:rsid w:val="008E20C1"/>
    <w:rsid w:val="008E4F95"/>
    <w:rsid w:val="008E7C6F"/>
    <w:rsid w:val="008F4D52"/>
    <w:rsid w:val="008F4E41"/>
    <w:rsid w:val="00902BBF"/>
    <w:rsid w:val="0090408D"/>
    <w:rsid w:val="00904E6B"/>
    <w:rsid w:val="00906EEC"/>
    <w:rsid w:val="00913861"/>
    <w:rsid w:val="00914204"/>
    <w:rsid w:val="00915C7E"/>
    <w:rsid w:val="00921CFC"/>
    <w:rsid w:val="00922606"/>
    <w:rsid w:val="00922D31"/>
    <w:rsid w:val="0092559F"/>
    <w:rsid w:val="0092763A"/>
    <w:rsid w:val="00931141"/>
    <w:rsid w:val="00935665"/>
    <w:rsid w:val="00935B30"/>
    <w:rsid w:val="00936A4E"/>
    <w:rsid w:val="00940AD0"/>
    <w:rsid w:val="00941580"/>
    <w:rsid w:val="00942981"/>
    <w:rsid w:val="00944E0C"/>
    <w:rsid w:val="00947D27"/>
    <w:rsid w:val="00950D81"/>
    <w:rsid w:val="00951B95"/>
    <w:rsid w:val="009527E9"/>
    <w:rsid w:val="009543EB"/>
    <w:rsid w:val="0095470F"/>
    <w:rsid w:val="00956CA9"/>
    <w:rsid w:val="009623AB"/>
    <w:rsid w:val="00965EAC"/>
    <w:rsid w:val="00970A6B"/>
    <w:rsid w:val="00975E13"/>
    <w:rsid w:val="009763C4"/>
    <w:rsid w:val="00976BDD"/>
    <w:rsid w:val="009803F1"/>
    <w:rsid w:val="00983053"/>
    <w:rsid w:val="009844F7"/>
    <w:rsid w:val="00985657"/>
    <w:rsid w:val="00987477"/>
    <w:rsid w:val="00987810"/>
    <w:rsid w:val="00987EFD"/>
    <w:rsid w:val="0099079E"/>
    <w:rsid w:val="00990902"/>
    <w:rsid w:val="00991DCC"/>
    <w:rsid w:val="00992FDD"/>
    <w:rsid w:val="00993501"/>
    <w:rsid w:val="0099592E"/>
    <w:rsid w:val="00995FFD"/>
    <w:rsid w:val="009A3207"/>
    <w:rsid w:val="009A45B0"/>
    <w:rsid w:val="009A5500"/>
    <w:rsid w:val="009A6A6F"/>
    <w:rsid w:val="009A7ED9"/>
    <w:rsid w:val="009B0EAA"/>
    <w:rsid w:val="009B1B69"/>
    <w:rsid w:val="009B518B"/>
    <w:rsid w:val="009C18C4"/>
    <w:rsid w:val="009C470D"/>
    <w:rsid w:val="009C638B"/>
    <w:rsid w:val="009D3626"/>
    <w:rsid w:val="009D68FB"/>
    <w:rsid w:val="009E04B3"/>
    <w:rsid w:val="009E0DFC"/>
    <w:rsid w:val="009E5B74"/>
    <w:rsid w:val="009E7C14"/>
    <w:rsid w:val="009F419C"/>
    <w:rsid w:val="009F43E0"/>
    <w:rsid w:val="00A006F8"/>
    <w:rsid w:val="00A04F1B"/>
    <w:rsid w:val="00A055A5"/>
    <w:rsid w:val="00A06703"/>
    <w:rsid w:val="00A12A7C"/>
    <w:rsid w:val="00A12FC7"/>
    <w:rsid w:val="00A1330E"/>
    <w:rsid w:val="00A1461F"/>
    <w:rsid w:val="00A32338"/>
    <w:rsid w:val="00A36676"/>
    <w:rsid w:val="00A375DC"/>
    <w:rsid w:val="00A402A1"/>
    <w:rsid w:val="00A43154"/>
    <w:rsid w:val="00A44175"/>
    <w:rsid w:val="00A50D22"/>
    <w:rsid w:val="00A512C3"/>
    <w:rsid w:val="00A571FE"/>
    <w:rsid w:val="00A60395"/>
    <w:rsid w:val="00A622B3"/>
    <w:rsid w:val="00A6287E"/>
    <w:rsid w:val="00A659D0"/>
    <w:rsid w:val="00A73262"/>
    <w:rsid w:val="00A76CE0"/>
    <w:rsid w:val="00A77C2C"/>
    <w:rsid w:val="00A80062"/>
    <w:rsid w:val="00A837B2"/>
    <w:rsid w:val="00A856EB"/>
    <w:rsid w:val="00A8597C"/>
    <w:rsid w:val="00A86F9D"/>
    <w:rsid w:val="00A9022E"/>
    <w:rsid w:val="00AA1165"/>
    <w:rsid w:val="00AA2FCF"/>
    <w:rsid w:val="00AA3F31"/>
    <w:rsid w:val="00AA4625"/>
    <w:rsid w:val="00AA46DA"/>
    <w:rsid w:val="00AA664A"/>
    <w:rsid w:val="00AA7FCD"/>
    <w:rsid w:val="00AB0575"/>
    <w:rsid w:val="00AB1119"/>
    <w:rsid w:val="00AB1F1A"/>
    <w:rsid w:val="00AC079B"/>
    <w:rsid w:val="00AC1463"/>
    <w:rsid w:val="00AC2EA7"/>
    <w:rsid w:val="00AC4F34"/>
    <w:rsid w:val="00AC5C31"/>
    <w:rsid w:val="00AC6EC2"/>
    <w:rsid w:val="00AE3A63"/>
    <w:rsid w:val="00AE4552"/>
    <w:rsid w:val="00AE5435"/>
    <w:rsid w:val="00AE5BC9"/>
    <w:rsid w:val="00AE6477"/>
    <w:rsid w:val="00AF2287"/>
    <w:rsid w:val="00AF3ABE"/>
    <w:rsid w:val="00AF6959"/>
    <w:rsid w:val="00B00520"/>
    <w:rsid w:val="00B00F8E"/>
    <w:rsid w:val="00B014D0"/>
    <w:rsid w:val="00B03CB0"/>
    <w:rsid w:val="00B041A9"/>
    <w:rsid w:val="00B045AF"/>
    <w:rsid w:val="00B0465E"/>
    <w:rsid w:val="00B05664"/>
    <w:rsid w:val="00B1218F"/>
    <w:rsid w:val="00B13262"/>
    <w:rsid w:val="00B14561"/>
    <w:rsid w:val="00B14C20"/>
    <w:rsid w:val="00B16238"/>
    <w:rsid w:val="00B23F8B"/>
    <w:rsid w:val="00B27724"/>
    <w:rsid w:val="00B30F3D"/>
    <w:rsid w:val="00B33DE4"/>
    <w:rsid w:val="00B359DE"/>
    <w:rsid w:val="00B40074"/>
    <w:rsid w:val="00B432A0"/>
    <w:rsid w:val="00B4738B"/>
    <w:rsid w:val="00B517F7"/>
    <w:rsid w:val="00B52AFC"/>
    <w:rsid w:val="00B52EFE"/>
    <w:rsid w:val="00B53F70"/>
    <w:rsid w:val="00B60DCA"/>
    <w:rsid w:val="00B63C73"/>
    <w:rsid w:val="00B672B3"/>
    <w:rsid w:val="00B678B7"/>
    <w:rsid w:val="00B73AA2"/>
    <w:rsid w:val="00B76DB6"/>
    <w:rsid w:val="00B77DBF"/>
    <w:rsid w:val="00B810DF"/>
    <w:rsid w:val="00B81FBB"/>
    <w:rsid w:val="00B902B9"/>
    <w:rsid w:val="00B92C59"/>
    <w:rsid w:val="00B95BFE"/>
    <w:rsid w:val="00B96C22"/>
    <w:rsid w:val="00B972D3"/>
    <w:rsid w:val="00BA1705"/>
    <w:rsid w:val="00BA2132"/>
    <w:rsid w:val="00BA39B0"/>
    <w:rsid w:val="00BA6541"/>
    <w:rsid w:val="00BB3971"/>
    <w:rsid w:val="00BB4389"/>
    <w:rsid w:val="00BB61BE"/>
    <w:rsid w:val="00BC0448"/>
    <w:rsid w:val="00BC2797"/>
    <w:rsid w:val="00BC4227"/>
    <w:rsid w:val="00BC7BE1"/>
    <w:rsid w:val="00BD1366"/>
    <w:rsid w:val="00BD15C9"/>
    <w:rsid w:val="00BD3419"/>
    <w:rsid w:val="00BD43E5"/>
    <w:rsid w:val="00BD59E3"/>
    <w:rsid w:val="00BD6705"/>
    <w:rsid w:val="00BD7FD7"/>
    <w:rsid w:val="00BE0315"/>
    <w:rsid w:val="00BE05F0"/>
    <w:rsid w:val="00BE1772"/>
    <w:rsid w:val="00BE1DEB"/>
    <w:rsid w:val="00BE66FA"/>
    <w:rsid w:val="00BF0E8E"/>
    <w:rsid w:val="00BF16E5"/>
    <w:rsid w:val="00BF1A7F"/>
    <w:rsid w:val="00BF61DC"/>
    <w:rsid w:val="00BF7A0B"/>
    <w:rsid w:val="00C00F37"/>
    <w:rsid w:val="00C021F0"/>
    <w:rsid w:val="00C02B1A"/>
    <w:rsid w:val="00C03F51"/>
    <w:rsid w:val="00C04993"/>
    <w:rsid w:val="00C10CC7"/>
    <w:rsid w:val="00C10CF5"/>
    <w:rsid w:val="00C11C58"/>
    <w:rsid w:val="00C13225"/>
    <w:rsid w:val="00C14C86"/>
    <w:rsid w:val="00C15B3B"/>
    <w:rsid w:val="00C229F8"/>
    <w:rsid w:val="00C2394B"/>
    <w:rsid w:val="00C322F1"/>
    <w:rsid w:val="00C33284"/>
    <w:rsid w:val="00C371FA"/>
    <w:rsid w:val="00C41F09"/>
    <w:rsid w:val="00C42DFB"/>
    <w:rsid w:val="00C4319E"/>
    <w:rsid w:val="00C46F61"/>
    <w:rsid w:val="00C47BB2"/>
    <w:rsid w:val="00C51C28"/>
    <w:rsid w:val="00C53456"/>
    <w:rsid w:val="00C55CC6"/>
    <w:rsid w:val="00C55E96"/>
    <w:rsid w:val="00C57922"/>
    <w:rsid w:val="00C60C2D"/>
    <w:rsid w:val="00C654CB"/>
    <w:rsid w:val="00C70043"/>
    <w:rsid w:val="00C7073E"/>
    <w:rsid w:val="00C735FB"/>
    <w:rsid w:val="00C73861"/>
    <w:rsid w:val="00C7432C"/>
    <w:rsid w:val="00C74E16"/>
    <w:rsid w:val="00C75791"/>
    <w:rsid w:val="00C76304"/>
    <w:rsid w:val="00C83B2D"/>
    <w:rsid w:val="00C84955"/>
    <w:rsid w:val="00C86467"/>
    <w:rsid w:val="00C93A1B"/>
    <w:rsid w:val="00C93F3B"/>
    <w:rsid w:val="00C942C1"/>
    <w:rsid w:val="00C95C72"/>
    <w:rsid w:val="00C96B86"/>
    <w:rsid w:val="00C97DF7"/>
    <w:rsid w:val="00CA0560"/>
    <w:rsid w:val="00CA1A6A"/>
    <w:rsid w:val="00CA6108"/>
    <w:rsid w:val="00CB1F9D"/>
    <w:rsid w:val="00CB4667"/>
    <w:rsid w:val="00CB766B"/>
    <w:rsid w:val="00CC356D"/>
    <w:rsid w:val="00CC443F"/>
    <w:rsid w:val="00CC67BB"/>
    <w:rsid w:val="00CC6D7F"/>
    <w:rsid w:val="00CD109D"/>
    <w:rsid w:val="00CD1E9D"/>
    <w:rsid w:val="00CD6ABB"/>
    <w:rsid w:val="00CE5CF2"/>
    <w:rsid w:val="00CE73EC"/>
    <w:rsid w:val="00CE7E6A"/>
    <w:rsid w:val="00D00A5D"/>
    <w:rsid w:val="00D00A87"/>
    <w:rsid w:val="00D02F2F"/>
    <w:rsid w:val="00D06650"/>
    <w:rsid w:val="00D13087"/>
    <w:rsid w:val="00D16FA0"/>
    <w:rsid w:val="00D2604C"/>
    <w:rsid w:val="00D26DCE"/>
    <w:rsid w:val="00D30DD1"/>
    <w:rsid w:val="00D37CCE"/>
    <w:rsid w:val="00D44701"/>
    <w:rsid w:val="00D45314"/>
    <w:rsid w:val="00D5130A"/>
    <w:rsid w:val="00D51769"/>
    <w:rsid w:val="00D522D8"/>
    <w:rsid w:val="00D52359"/>
    <w:rsid w:val="00D5491C"/>
    <w:rsid w:val="00D554E8"/>
    <w:rsid w:val="00D5748E"/>
    <w:rsid w:val="00D604B4"/>
    <w:rsid w:val="00D612A9"/>
    <w:rsid w:val="00D61AFD"/>
    <w:rsid w:val="00D66935"/>
    <w:rsid w:val="00D67E7D"/>
    <w:rsid w:val="00D70FB5"/>
    <w:rsid w:val="00D7498A"/>
    <w:rsid w:val="00D80021"/>
    <w:rsid w:val="00D832E8"/>
    <w:rsid w:val="00D8520E"/>
    <w:rsid w:val="00D8724C"/>
    <w:rsid w:val="00D938C1"/>
    <w:rsid w:val="00DA2494"/>
    <w:rsid w:val="00DA47A8"/>
    <w:rsid w:val="00DA5235"/>
    <w:rsid w:val="00DA5A6E"/>
    <w:rsid w:val="00DB0341"/>
    <w:rsid w:val="00DB206B"/>
    <w:rsid w:val="00DB3592"/>
    <w:rsid w:val="00DB3D26"/>
    <w:rsid w:val="00DB4338"/>
    <w:rsid w:val="00DB4C93"/>
    <w:rsid w:val="00DB6ED8"/>
    <w:rsid w:val="00DB7E59"/>
    <w:rsid w:val="00DC23E5"/>
    <w:rsid w:val="00DC3F8A"/>
    <w:rsid w:val="00DC6D73"/>
    <w:rsid w:val="00DD46E9"/>
    <w:rsid w:val="00DE0D00"/>
    <w:rsid w:val="00DE16CD"/>
    <w:rsid w:val="00DE2AE7"/>
    <w:rsid w:val="00DE6492"/>
    <w:rsid w:val="00DF068B"/>
    <w:rsid w:val="00DF280B"/>
    <w:rsid w:val="00DF28B7"/>
    <w:rsid w:val="00DF47F5"/>
    <w:rsid w:val="00DF4D16"/>
    <w:rsid w:val="00DF56A1"/>
    <w:rsid w:val="00DF61B2"/>
    <w:rsid w:val="00DF68C0"/>
    <w:rsid w:val="00DF7825"/>
    <w:rsid w:val="00DF7F5A"/>
    <w:rsid w:val="00E00FFD"/>
    <w:rsid w:val="00E01993"/>
    <w:rsid w:val="00E04C02"/>
    <w:rsid w:val="00E053B2"/>
    <w:rsid w:val="00E074B8"/>
    <w:rsid w:val="00E139D5"/>
    <w:rsid w:val="00E14CA5"/>
    <w:rsid w:val="00E152DF"/>
    <w:rsid w:val="00E22D1B"/>
    <w:rsid w:val="00E235F5"/>
    <w:rsid w:val="00E23783"/>
    <w:rsid w:val="00E251E0"/>
    <w:rsid w:val="00E26411"/>
    <w:rsid w:val="00E307B6"/>
    <w:rsid w:val="00E32AF9"/>
    <w:rsid w:val="00E37348"/>
    <w:rsid w:val="00E418F3"/>
    <w:rsid w:val="00E41AD6"/>
    <w:rsid w:val="00E42017"/>
    <w:rsid w:val="00E42730"/>
    <w:rsid w:val="00E44E33"/>
    <w:rsid w:val="00E4514A"/>
    <w:rsid w:val="00E45910"/>
    <w:rsid w:val="00E46268"/>
    <w:rsid w:val="00E55257"/>
    <w:rsid w:val="00E55854"/>
    <w:rsid w:val="00E56CAB"/>
    <w:rsid w:val="00E628AD"/>
    <w:rsid w:val="00E64339"/>
    <w:rsid w:val="00E64E70"/>
    <w:rsid w:val="00E677BD"/>
    <w:rsid w:val="00E70C44"/>
    <w:rsid w:val="00E72B6E"/>
    <w:rsid w:val="00E75812"/>
    <w:rsid w:val="00E872A7"/>
    <w:rsid w:val="00E95E4E"/>
    <w:rsid w:val="00EA19E9"/>
    <w:rsid w:val="00EA369D"/>
    <w:rsid w:val="00EA411E"/>
    <w:rsid w:val="00EA641F"/>
    <w:rsid w:val="00EA6A5A"/>
    <w:rsid w:val="00EB0E88"/>
    <w:rsid w:val="00EB19E0"/>
    <w:rsid w:val="00EB21C0"/>
    <w:rsid w:val="00EB5A80"/>
    <w:rsid w:val="00EB62B1"/>
    <w:rsid w:val="00EB7AF3"/>
    <w:rsid w:val="00EC07DD"/>
    <w:rsid w:val="00EC0D7C"/>
    <w:rsid w:val="00EC3652"/>
    <w:rsid w:val="00EC7F14"/>
    <w:rsid w:val="00EE1F4D"/>
    <w:rsid w:val="00EE220A"/>
    <w:rsid w:val="00EE2853"/>
    <w:rsid w:val="00EE300B"/>
    <w:rsid w:val="00EE3E8F"/>
    <w:rsid w:val="00EE5200"/>
    <w:rsid w:val="00EE77C8"/>
    <w:rsid w:val="00EF14D5"/>
    <w:rsid w:val="00EF5D36"/>
    <w:rsid w:val="00EF66FC"/>
    <w:rsid w:val="00F0135B"/>
    <w:rsid w:val="00F02153"/>
    <w:rsid w:val="00F02E73"/>
    <w:rsid w:val="00F049C3"/>
    <w:rsid w:val="00F07489"/>
    <w:rsid w:val="00F10140"/>
    <w:rsid w:val="00F11BAF"/>
    <w:rsid w:val="00F11CE3"/>
    <w:rsid w:val="00F11F20"/>
    <w:rsid w:val="00F16FDF"/>
    <w:rsid w:val="00F17DCE"/>
    <w:rsid w:val="00F22750"/>
    <w:rsid w:val="00F23CA1"/>
    <w:rsid w:val="00F2401A"/>
    <w:rsid w:val="00F241A1"/>
    <w:rsid w:val="00F25596"/>
    <w:rsid w:val="00F25E34"/>
    <w:rsid w:val="00F2646F"/>
    <w:rsid w:val="00F27E65"/>
    <w:rsid w:val="00F37721"/>
    <w:rsid w:val="00F405C9"/>
    <w:rsid w:val="00F40A19"/>
    <w:rsid w:val="00F414CD"/>
    <w:rsid w:val="00F414F8"/>
    <w:rsid w:val="00F44FA1"/>
    <w:rsid w:val="00F474A7"/>
    <w:rsid w:val="00F47626"/>
    <w:rsid w:val="00F47CAB"/>
    <w:rsid w:val="00F50275"/>
    <w:rsid w:val="00F505C7"/>
    <w:rsid w:val="00F51366"/>
    <w:rsid w:val="00F52627"/>
    <w:rsid w:val="00F54824"/>
    <w:rsid w:val="00F566F6"/>
    <w:rsid w:val="00F56CE1"/>
    <w:rsid w:val="00F62D01"/>
    <w:rsid w:val="00F62EE5"/>
    <w:rsid w:val="00F65101"/>
    <w:rsid w:val="00F669C5"/>
    <w:rsid w:val="00F72DEA"/>
    <w:rsid w:val="00F77A05"/>
    <w:rsid w:val="00F77F40"/>
    <w:rsid w:val="00F803B0"/>
    <w:rsid w:val="00F80E14"/>
    <w:rsid w:val="00F80E25"/>
    <w:rsid w:val="00F81A52"/>
    <w:rsid w:val="00F8604F"/>
    <w:rsid w:val="00F869B7"/>
    <w:rsid w:val="00F9005C"/>
    <w:rsid w:val="00F904AE"/>
    <w:rsid w:val="00F9112F"/>
    <w:rsid w:val="00F93D17"/>
    <w:rsid w:val="00F9744E"/>
    <w:rsid w:val="00FA0966"/>
    <w:rsid w:val="00FA4277"/>
    <w:rsid w:val="00FA6905"/>
    <w:rsid w:val="00FA7A01"/>
    <w:rsid w:val="00FB03E9"/>
    <w:rsid w:val="00FB0909"/>
    <w:rsid w:val="00FB13E6"/>
    <w:rsid w:val="00FB2BF1"/>
    <w:rsid w:val="00FB3A80"/>
    <w:rsid w:val="00FB4456"/>
    <w:rsid w:val="00FB5D74"/>
    <w:rsid w:val="00FB6241"/>
    <w:rsid w:val="00FC3A0E"/>
    <w:rsid w:val="00FC4B44"/>
    <w:rsid w:val="00FD0A3A"/>
    <w:rsid w:val="00FD128E"/>
    <w:rsid w:val="00FD16AF"/>
    <w:rsid w:val="00FD1F4D"/>
    <w:rsid w:val="00FD2A3E"/>
    <w:rsid w:val="00FD7077"/>
    <w:rsid w:val="00FE196D"/>
    <w:rsid w:val="00FE50CE"/>
    <w:rsid w:val="00FE5B7C"/>
    <w:rsid w:val="00FE5BBC"/>
    <w:rsid w:val="00FF507F"/>
    <w:rsid w:val="00FF5204"/>
    <w:rsid w:val="00FF53EC"/>
    <w:rsid w:val="00FF649E"/>
    <w:rsid w:val="00FF6724"/>
    <w:rsid w:val="00FF6796"/>
    <w:rsid w:val="00FF6FCC"/>
    <w:rsid w:val="00FF6FE3"/>
    <w:rsid w:val="03894232"/>
    <w:rsid w:val="03894494"/>
    <w:rsid w:val="0D58459D"/>
    <w:rsid w:val="0FB16091"/>
    <w:rsid w:val="0FDE7041"/>
    <w:rsid w:val="16E84B30"/>
    <w:rsid w:val="1A07110C"/>
    <w:rsid w:val="1AFA0A33"/>
    <w:rsid w:val="1C0F309E"/>
    <w:rsid w:val="1CC31AFB"/>
    <w:rsid w:val="1DC3467C"/>
    <w:rsid w:val="1FC63211"/>
    <w:rsid w:val="221E3A52"/>
    <w:rsid w:val="22391D59"/>
    <w:rsid w:val="24AA49FC"/>
    <w:rsid w:val="32F57D5D"/>
    <w:rsid w:val="32FF2962"/>
    <w:rsid w:val="3B5D5ACD"/>
    <w:rsid w:val="403E5D82"/>
    <w:rsid w:val="468E4024"/>
    <w:rsid w:val="46DD6F23"/>
    <w:rsid w:val="4FBB0BEF"/>
    <w:rsid w:val="5003504B"/>
    <w:rsid w:val="521C1343"/>
    <w:rsid w:val="55EC0C51"/>
    <w:rsid w:val="5DEF4772"/>
    <w:rsid w:val="64430EE0"/>
    <w:rsid w:val="6C804170"/>
    <w:rsid w:val="6F5C369C"/>
    <w:rsid w:val="76DF3C11"/>
    <w:rsid w:val="77104D3F"/>
    <w:rsid w:val="77515DEA"/>
    <w:rsid w:val="795F1FF3"/>
    <w:rsid w:val="7A761304"/>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0" w:semiHidden="0" w:name="List Paragraph"/>
    <w:lsdException w:qFormat="1" w:unhideWhenUsed="0" w:uiPriority="29" w:semiHidden="0" w:name="Quote"/>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32"/>
    <w:qFormat/>
    <w:uiPriority w:val="0"/>
    <w:pPr>
      <w:keepNext/>
      <w:keepLines/>
      <w:spacing w:before="240"/>
      <w:outlineLvl w:val="0"/>
    </w:pPr>
    <w:rPr>
      <w:rFonts w:asciiTheme="majorHAnsi" w:hAnsiTheme="majorHAnsi" w:eastAsiaTheme="majorEastAsia" w:cstheme="majorBidi"/>
      <w:color w:val="376092" w:themeColor="accent1" w:themeShade="BF"/>
      <w:sz w:val="32"/>
      <w:szCs w:val="32"/>
    </w:rPr>
  </w:style>
  <w:style w:type="paragraph" w:styleId="3">
    <w:name w:val="heading 2"/>
    <w:basedOn w:val="1"/>
    <w:next w:val="1"/>
    <w:link w:val="18"/>
    <w:qFormat/>
    <w:uiPriority w:val="0"/>
    <w:pPr>
      <w:keepNext/>
      <w:tabs>
        <w:tab w:val="left" w:pos="1701"/>
      </w:tabs>
      <w:ind w:right="-1"/>
      <w:jc w:val="center"/>
      <w:outlineLvl w:val="1"/>
    </w:pPr>
    <w:rPr>
      <w:rFonts w:ascii="Times New Roman" w:hAnsi="Times New Roman" w:cs="Times New Roman"/>
      <w:b/>
      <w:color w:val="000000"/>
      <w:szCs w:val="20"/>
      <w:lang w:val="zh-CN" w:eastAsia="zh-CN"/>
    </w:rPr>
  </w:style>
  <w:style w:type="character" w:default="1" w:styleId="12">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semiHidden/>
    <w:unhideWhenUsed/>
    <w:qFormat/>
    <w:uiPriority w:val="0"/>
    <w:rPr>
      <w:rFonts w:ascii="Times New Roman" w:hAnsi="Times New Roman" w:cs="Times New Roman"/>
      <w:snapToGrid w:val="0"/>
      <w:sz w:val="24"/>
      <w:szCs w:val="20"/>
    </w:rPr>
  </w:style>
  <w:style w:type="paragraph" w:styleId="5">
    <w:name w:val="annotation text"/>
    <w:basedOn w:val="1"/>
    <w:link w:val="28"/>
    <w:unhideWhenUsed/>
    <w:qFormat/>
    <w:uiPriority w:val="0"/>
    <w:rPr>
      <w:szCs w:val="20"/>
    </w:rPr>
  </w:style>
  <w:style w:type="paragraph" w:styleId="6">
    <w:name w:val="Title"/>
    <w:basedOn w:val="1"/>
    <w:qFormat/>
    <w:uiPriority w:val="0"/>
    <w:pPr>
      <w:widowControl w:val="0"/>
      <w:ind w:right="482"/>
      <w:jc w:val="center"/>
    </w:pPr>
    <w:rPr>
      <w:rFonts w:ascii="Times New Roman" w:hAnsi="Times New Roman" w:cs="Times New Roman"/>
      <w:b/>
      <w:snapToGrid w:val="0"/>
      <w:sz w:val="22"/>
      <w:szCs w:val="20"/>
    </w:rPr>
  </w:style>
  <w:style w:type="paragraph" w:styleId="7">
    <w:name w:val="List Bullet 5"/>
    <w:basedOn w:val="1"/>
    <w:qFormat/>
    <w:uiPriority w:val="0"/>
    <w:pPr>
      <w:numPr>
        <w:ilvl w:val="0"/>
        <w:numId w:val="1"/>
      </w:numPr>
      <w:contextualSpacing/>
    </w:pPr>
  </w:style>
  <w:style w:type="paragraph" w:styleId="8">
    <w:name w:val="Normal (Web)"/>
    <w:basedOn w:val="1"/>
    <w:qFormat/>
    <w:uiPriority w:val="99"/>
    <w:pPr>
      <w:spacing w:before="100" w:beforeAutospacing="1" w:after="100" w:afterAutospacing="1"/>
    </w:pPr>
    <w:rPr>
      <w:rFonts w:ascii="Times New Roman" w:hAnsi="Times New Roman" w:cs="Times New Roman"/>
    </w:rPr>
  </w:style>
  <w:style w:type="paragraph" w:styleId="9">
    <w:name w:val="header"/>
    <w:basedOn w:val="1"/>
    <w:link w:val="29"/>
    <w:unhideWhenUsed/>
    <w:qFormat/>
    <w:uiPriority w:val="0"/>
    <w:pPr>
      <w:tabs>
        <w:tab w:val="center" w:pos="4252"/>
        <w:tab w:val="right" w:pos="8504"/>
      </w:tabs>
    </w:pPr>
  </w:style>
  <w:style w:type="paragraph" w:styleId="10">
    <w:name w:val="footer"/>
    <w:basedOn w:val="1"/>
    <w:link w:val="30"/>
    <w:unhideWhenUsed/>
    <w:qFormat/>
    <w:uiPriority w:val="0"/>
    <w:pPr>
      <w:tabs>
        <w:tab w:val="center" w:pos="4252"/>
        <w:tab w:val="right" w:pos="8504"/>
      </w:tabs>
    </w:pPr>
  </w:style>
  <w:style w:type="paragraph" w:styleId="11">
    <w:name w:val="Balloon Text"/>
    <w:basedOn w:val="1"/>
    <w:link w:val="17"/>
    <w:qFormat/>
    <w:uiPriority w:val="0"/>
    <w:rPr>
      <w:rFonts w:ascii="Tahoma" w:hAnsi="Tahoma" w:cs="Times New Roman"/>
      <w:sz w:val="16"/>
      <w:szCs w:val="16"/>
      <w:lang w:val="zh-CN" w:eastAsia="zh-CN"/>
    </w:rPr>
  </w:style>
  <w:style w:type="character" w:styleId="13">
    <w:name w:val="annotation reference"/>
    <w:basedOn w:val="12"/>
    <w:semiHidden/>
    <w:unhideWhenUsed/>
    <w:qFormat/>
    <w:uiPriority w:val="0"/>
    <w:rPr>
      <w:sz w:val="16"/>
      <w:szCs w:val="16"/>
    </w:rPr>
  </w:style>
  <w:style w:type="character" w:styleId="14">
    <w:name w:val="Hyperlink"/>
    <w:qFormat/>
    <w:uiPriority w:val="0"/>
    <w:rPr>
      <w:color w:val="000080"/>
      <w:u w:val="single"/>
    </w:rPr>
  </w:style>
  <w:style w:type="paragraph" w:styleId="16">
    <w:name w:val="List Paragraph"/>
    <w:basedOn w:val="1"/>
    <w:qFormat/>
    <w:uiPriority w:val="0"/>
    <w:pPr>
      <w:ind w:left="720"/>
      <w:contextualSpacing/>
    </w:pPr>
  </w:style>
  <w:style w:type="character" w:customStyle="1" w:styleId="17">
    <w:name w:val="Texto de balão Char"/>
    <w:link w:val="11"/>
    <w:qFormat/>
    <w:uiPriority w:val="0"/>
    <w:rPr>
      <w:rFonts w:ascii="Tahoma" w:hAnsi="Tahoma" w:cs="Tahoma"/>
      <w:sz w:val="16"/>
      <w:szCs w:val="16"/>
    </w:rPr>
  </w:style>
  <w:style w:type="character" w:customStyle="1" w:styleId="18">
    <w:name w:val="Título 2 Char"/>
    <w:link w:val="3"/>
    <w:qFormat/>
    <w:uiPriority w:val="0"/>
    <w:rPr>
      <w:b/>
      <w:color w:val="000000"/>
      <w:sz w:val="24"/>
    </w:rPr>
  </w:style>
  <w:style w:type="paragraph" w:customStyle="1" w:styleId="19">
    <w:name w:val="Nível 2"/>
    <w:basedOn w:val="1"/>
    <w:next w:val="1"/>
    <w:qFormat/>
    <w:uiPriority w:val="0"/>
    <w:pPr>
      <w:spacing w:after="120"/>
      <w:jc w:val="both"/>
    </w:pPr>
    <w:rPr>
      <w:rFonts w:cs="Times New Roman"/>
      <w:b/>
      <w:szCs w:val="20"/>
    </w:rPr>
  </w:style>
  <w:style w:type="character" w:customStyle="1" w:styleId="20">
    <w:name w:val="normal__char1"/>
    <w:qFormat/>
    <w:uiPriority w:val="0"/>
    <w:rPr>
      <w:rFonts w:hint="default" w:ascii="Arial" w:hAnsi="Arial" w:cs="Arial"/>
      <w:sz w:val="24"/>
      <w:szCs w:val="24"/>
      <w:u w:val="none"/>
    </w:rPr>
  </w:style>
  <w:style w:type="character" w:customStyle="1" w:styleId="21">
    <w:name w:val="apple-style-span"/>
    <w:basedOn w:val="12"/>
    <w:qFormat/>
    <w:uiPriority w:val="0"/>
  </w:style>
  <w:style w:type="paragraph" w:styleId="22">
    <w:name w:val="Quote"/>
    <w:basedOn w:val="1"/>
    <w:next w:val="1"/>
    <w:link w:val="23"/>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s="Times New Roman"/>
      <w:i/>
      <w:iCs/>
      <w:color w:val="000000"/>
      <w:lang w:val="zh-CN" w:eastAsia="en-US"/>
    </w:rPr>
  </w:style>
  <w:style w:type="character" w:customStyle="1" w:styleId="23">
    <w:name w:val="Citação Char"/>
    <w:link w:val="22"/>
    <w:qFormat/>
    <w:uiPriority w:val="29"/>
    <w:rPr>
      <w:rFonts w:ascii="Ecofont_Spranq_eco_Sans" w:hAnsi="Ecofont_Spranq_eco_Sans" w:eastAsia="Calibri" w:cs="Tahoma"/>
      <w:i/>
      <w:iCs/>
      <w:color w:val="000000"/>
      <w:szCs w:val="24"/>
      <w:shd w:val="clear" w:color="auto" w:fill="FFFFCC"/>
      <w:lang w:eastAsia="en-US"/>
    </w:rPr>
  </w:style>
  <w:style w:type="paragraph" w:customStyle="1" w:styleId="24">
    <w:name w:val="citação 2"/>
    <w:basedOn w:val="22"/>
    <w:link w:val="25"/>
    <w:qFormat/>
    <w:uiPriority w:val="0"/>
    <w:rPr>
      <w:szCs w:val="20"/>
    </w:rPr>
  </w:style>
  <w:style w:type="character" w:customStyle="1" w:styleId="25">
    <w:name w:val="citação 2 Char"/>
    <w:basedOn w:val="23"/>
    <w:link w:val="24"/>
    <w:qFormat/>
    <w:uiPriority w:val="0"/>
    <w:rPr>
      <w:rFonts w:ascii="Ecofont_Spranq_eco_Sans" w:hAnsi="Ecofont_Spranq_eco_Sans" w:eastAsia="Calibri" w:cs="Tahoma"/>
      <w:color w:val="000000"/>
      <w:szCs w:val="24"/>
      <w:shd w:val="clear" w:color="auto" w:fill="FFFFCC"/>
      <w:lang w:eastAsia="en-US"/>
    </w:rPr>
  </w:style>
  <w:style w:type="paragraph" w:customStyle="1" w:styleId="26">
    <w:name w:val="Grade Colorida - Ênfase 11"/>
    <w:basedOn w:val="1"/>
    <w:next w:val="1"/>
    <w:link w:val="27"/>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lang w:eastAsia="en-US"/>
    </w:rPr>
  </w:style>
  <w:style w:type="character" w:customStyle="1" w:styleId="27">
    <w:name w:val="Grade Colorida - Ênfase 1 Char"/>
    <w:link w:val="26"/>
    <w:qFormat/>
    <w:uiPriority w:val="29"/>
    <w:rPr>
      <w:rFonts w:ascii="Ecofont_Spranq_eco_Sans" w:hAnsi="Ecofont_Spranq_eco_Sans" w:eastAsia="Calibri" w:cs="Tahoma"/>
      <w:i/>
      <w:iCs/>
      <w:color w:val="000000"/>
      <w:szCs w:val="24"/>
      <w:shd w:val="clear" w:color="auto" w:fill="FFFFCC"/>
      <w:lang w:eastAsia="en-US"/>
    </w:rPr>
  </w:style>
  <w:style w:type="character" w:customStyle="1" w:styleId="28">
    <w:name w:val="Texto de comentário Char"/>
    <w:basedOn w:val="12"/>
    <w:link w:val="5"/>
    <w:qFormat/>
    <w:uiPriority w:val="0"/>
    <w:rPr>
      <w:rFonts w:ascii="Ecofont_Spranq_eco_Sans" w:hAnsi="Ecofont_Spranq_eco_Sans" w:cs="Tahoma"/>
    </w:rPr>
  </w:style>
  <w:style w:type="character" w:customStyle="1" w:styleId="29">
    <w:name w:val="Cabeçalho Char"/>
    <w:basedOn w:val="12"/>
    <w:link w:val="9"/>
    <w:qFormat/>
    <w:uiPriority w:val="0"/>
    <w:rPr>
      <w:rFonts w:ascii="Ecofont_Spranq_eco_Sans" w:hAnsi="Ecofont_Spranq_eco_Sans" w:cs="Tahoma"/>
      <w:sz w:val="24"/>
      <w:szCs w:val="24"/>
    </w:rPr>
  </w:style>
  <w:style w:type="character" w:customStyle="1" w:styleId="30">
    <w:name w:val="Rodapé Char"/>
    <w:basedOn w:val="12"/>
    <w:link w:val="10"/>
    <w:qFormat/>
    <w:uiPriority w:val="0"/>
    <w:rPr>
      <w:rFonts w:ascii="Ecofont_Spranq_eco_Sans" w:hAnsi="Ecofont_Spranq_eco_Sans" w:cs="Tahoma"/>
      <w:sz w:val="24"/>
      <w:szCs w:val="24"/>
    </w:rPr>
  </w:style>
  <w:style w:type="paragraph" w:customStyle="1" w:styleId="31">
    <w:name w:val="Nivel1"/>
    <w:basedOn w:val="2"/>
    <w:next w:val="1"/>
    <w:link w:val="33"/>
    <w:qFormat/>
    <w:uiPriority w:val="0"/>
    <w:pPr>
      <w:numPr>
        <w:ilvl w:val="0"/>
        <w:numId w:val="2"/>
      </w:numPr>
      <w:spacing w:before="480" w:after="120" w:line="276" w:lineRule="auto"/>
      <w:jc w:val="both"/>
    </w:pPr>
    <w:rPr>
      <w:rFonts w:ascii="Arial" w:hAnsi="Arial" w:cs="Times New Roman"/>
      <w:b/>
      <w:color w:val="000000"/>
      <w:sz w:val="20"/>
      <w:szCs w:val="20"/>
    </w:rPr>
  </w:style>
  <w:style w:type="character" w:customStyle="1" w:styleId="32">
    <w:name w:val="Título 1 Char"/>
    <w:basedOn w:val="12"/>
    <w:link w:val="2"/>
    <w:qFormat/>
    <w:uiPriority w:val="0"/>
    <w:rPr>
      <w:rFonts w:asciiTheme="majorHAnsi" w:hAnsiTheme="majorHAnsi" w:eastAsiaTheme="majorEastAsia" w:cstheme="majorBidi"/>
      <w:color w:val="376092" w:themeColor="accent1" w:themeShade="BF"/>
      <w:sz w:val="32"/>
      <w:szCs w:val="32"/>
    </w:rPr>
  </w:style>
  <w:style w:type="character" w:customStyle="1" w:styleId="33">
    <w:name w:val="Nivel1 Char"/>
    <w:basedOn w:val="32"/>
    <w:link w:val="31"/>
    <w:qFormat/>
    <w:uiPriority w:val="0"/>
    <w:rPr>
      <w:rFonts w:ascii="Arial" w:hAnsi="Arial" w:eastAsiaTheme="majorEastAsia" w:cstheme="majorBidi"/>
      <w:b/>
      <w:color w:val="000000"/>
      <w:sz w:val="32"/>
      <w:szCs w:val="32"/>
    </w:rPr>
  </w:style>
  <w:style w:type="paragraph" w:customStyle="1" w:styleId="34">
    <w:name w:val="Citação1"/>
    <w:basedOn w:val="1"/>
    <w:next w:val="1"/>
    <w:link w:val="35"/>
    <w:qFormat/>
    <w:uiPriority w:val="9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35">
    <w:name w:val="Quote Char"/>
    <w:link w:val="34"/>
    <w:qFormat/>
    <w:uiPriority w:val="99"/>
    <w:rPr>
      <w:rFonts w:ascii="Ecofont_Spranq_eco_Sans" w:hAnsi="Ecofont_Spranq_eco_Sans" w:cs="Ecofont_Spranq_eco_Sans"/>
      <w:i/>
      <w:iCs/>
      <w:color w:val="000000"/>
      <w:sz w:val="24"/>
      <w:szCs w:val="24"/>
      <w:shd w:val="clear" w:color="auto" w:fill="FFFFCC"/>
      <w:lang w:eastAsia="en-US"/>
    </w:rPr>
  </w:style>
  <w:style w:type="paragraph" w:customStyle="1" w:styleId="36">
    <w:name w:val="Parágrafo da Lista1"/>
    <w:basedOn w:val="1"/>
    <w:qFormat/>
    <w:uiPriority w:val="0"/>
    <w:pPr>
      <w:ind w:left="720"/>
    </w:pPr>
    <w:rPr>
      <w:rFonts w:ascii="Ecofont_Spranq_eco_Sans" w:hAnsi="Ecofont_Spranq_eco_Sans" w:cs="Ecofont_Spranq_eco_San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4BDA48-F3FD-406B-9060-FC1C862D9E29}">
  <ds:schemaRefs/>
</ds:datastoreItem>
</file>

<file path=docProps/app.xml><?xml version="1.0" encoding="utf-8"?>
<Properties xmlns="http://schemas.openxmlformats.org/officeDocument/2006/extended-properties" xmlns:vt="http://schemas.openxmlformats.org/officeDocument/2006/docPropsVTypes">
  <Template>modelo de modelo de minuta</Template>
  <Company>EDUARDO DOTTI</Company>
  <Pages>31</Pages>
  <Words>14022</Words>
  <Characters>75722</Characters>
  <Lines>631</Lines>
  <Paragraphs>179</Paragraphs>
  <TotalTime>7</TotalTime>
  <ScaleCrop>false</ScaleCrop>
  <LinksUpToDate>false</LinksUpToDate>
  <CharactersWithSpaces>89565</CharactersWithSpaces>
  <Application>WPS Office_10.2.0.7646_F1E327BC-269C-435d-A152-05C5408002CA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2017-10-27T17:33:00Z</dcterms:created>
  <dc:creator>Adriano</dc:creator>
  <cp:lastModifiedBy>ronilson.santos</cp:lastModifiedBy>
  <cp:lastPrinted>2019-03-13T18:48:00Z</cp:lastPrinted>
  <dcterms:modified xsi:type="dcterms:W3CDTF">2019-05-23T18:05:08Z</dcterms:modified>
  <dc:title>NOTAS EXPLICATIVAS</dc:title>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1046-10.2.0.7646</vt:lpwstr>
  </property>
</Properties>
</file>