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"/>
        <w:rPr>
          <w:rFonts w:ascii="Times New Roman"/>
          <w:i w:val="0"/>
          <w:sz w:val="3"/>
        </w:rPr>
      </w:pPr>
    </w:p>
    <w:p>
      <w:pPr>
        <w:pStyle w:val="2"/>
        <w:spacing w:line="20" w:lineRule="exact"/>
        <w:ind w:left="108"/>
        <w:rPr>
          <w:rFonts w:ascii="Times New Roman"/>
          <w:i w:val="0"/>
          <w:sz w:val="2"/>
        </w:rPr>
      </w:pPr>
    </w:p>
    <w:p>
      <w:pPr>
        <w:ind w:right="-17"/>
        <w:jc w:val="center"/>
        <w:rPr>
          <w:rFonts w:cs="Times New Roman"/>
          <w:b/>
          <w:bCs/>
          <w:color w:val="000000"/>
          <w:szCs w:val="20"/>
        </w:rPr>
      </w:pPr>
      <w:r>
        <w:rPr>
          <w:rFonts w:cs="Times New Roman"/>
          <w:b/>
          <w:bCs/>
          <w:color w:val="000000"/>
          <w:szCs w:val="20"/>
        </w:rPr>
        <w:t xml:space="preserve">ANEXO </w:t>
      </w:r>
      <w:r>
        <w:rPr>
          <w:rFonts w:cs="Times New Roman"/>
          <w:b/>
          <w:bCs/>
          <w:color w:val="000000"/>
          <w:szCs w:val="20"/>
          <w:lang w:val="pt-BR"/>
        </w:rPr>
        <w:t>XIII</w:t>
      </w:r>
    </w:p>
    <w:p>
      <w:pPr>
        <w:pStyle w:val="2"/>
        <w:spacing w:before="14" w:line="511" w:lineRule="auto"/>
        <w:ind w:left="1979" w:right="2229" w:firstLine="1"/>
        <w:jc w:val="center"/>
        <w:rPr>
          <w:w w:val="115"/>
        </w:rPr>
      </w:pPr>
    </w:p>
    <w:p>
      <w:pPr>
        <w:pStyle w:val="2"/>
        <w:spacing w:before="14" w:line="511" w:lineRule="auto"/>
        <w:ind w:left="1979" w:right="2229" w:firstLine="1"/>
        <w:jc w:val="center"/>
      </w:pPr>
      <w:r>
        <w:rPr>
          <w:w w:val="115"/>
        </w:rPr>
        <w:t>INSTRUMENTO</w:t>
      </w:r>
      <w:r>
        <w:rPr>
          <w:spacing w:val="-27"/>
          <w:w w:val="115"/>
        </w:rPr>
        <w:t xml:space="preserve"> </w:t>
      </w:r>
      <w:r>
        <w:rPr>
          <w:w w:val="115"/>
        </w:rPr>
        <w:t>DE</w:t>
      </w:r>
      <w:r>
        <w:rPr>
          <w:spacing w:val="-28"/>
          <w:w w:val="115"/>
        </w:rPr>
        <w:t xml:space="preserve"> </w:t>
      </w:r>
      <w:r>
        <w:rPr>
          <w:w w:val="115"/>
        </w:rPr>
        <w:t>MEDIÇÃO</w:t>
      </w:r>
      <w:r>
        <w:rPr>
          <w:spacing w:val="-28"/>
          <w:w w:val="115"/>
        </w:rPr>
        <w:t xml:space="preserve"> </w:t>
      </w:r>
      <w:r>
        <w:rPr>
          <w:w w:val="115"/>
        </w:rPr>
        <w:t>DE</w:t>
      </w:r>
      <w:r>
        <w:rPr>
          <w:spacing w:val="-26"/>
          <w:w w:val="115"/>
        </w:rPr>
        <w:t xml:space="preserve"> </w:t>
      </w:r>
      <w:r>
        <w:rPr>
          <w:w w:val="115"/>
        </w:rPr>
        <w:t>RESULTADOS</w:t>
      </w:r>
      <w:r>
        <w:rPr>
          <w:spacing w:val="-27"/>
          <w:w w:val="115"/>
        </w:rPr>
        <w:t xml:space="preserve"> </w:t>
      </w:r>
      <w:r>
        <w:rPr>
          <w:w w:val="115"/>
        </w:rPr>
        <w:t>(IMR)</w:t>
      </w:r>
    </w:p>
    <w:p>
      <w:pPr>
        <w:pStyle w:val="8"/>
        <w:numPr>
          <w:ilvl w:val="0"/>
          <w:numId w:val="1"/>
        </w:numPr>
        <w:tabs>
          <w:tab w:val="left" w:pos="388"/>
        </w:tabs>
        <w:spacing w:before="7" w:after="0" w:line="240" w:lineRule="auto"/>
        <w:ind w:left="387" w:right="0" w:hanging="268"/>
        <w:jc w:val="both"/>
        <w:rPr>
          <w:i/>
          <w:sz w:val="20"/>
        </w:rPr>
      </w:pPr>
      <w:r>
        <w:rPr>
          <w:i/>
          <w:w w:val="115"/>
          <w:sz w:val="20"/>
        </w:rPr>
        <w:t>DA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DEFINIÇÃO</w:t>
      </w:r>
    </w:p>
    <w:p>
      <w:pPr>
        <w:pStyle w:val="2"/>
        <w:spacing w:before="3"/>
        <w:rPr>
          <w:i/>
        </w:rPr>
      </w:pPr>
    </w:p>
    <w:p>
      <w:pPr>
        <w:pStyle w:val="8"/>
        <w:numPr>
          <w:ilvl w:val="1"/>
          <w:numId w:val="1"/>
        </w:numPr>
        <w:tabs>
          <w:tab w:val="left" w:pos="596"/>
        </w:tabs>
        <w:spacing w:before="1" w:after="0" w:line="240" w:lineRule="auto"/>
        <w:ind w:left="120" w:right="205" w:firstLine="0"/>
        <w:jc w:val="both"/>
        <w:rPr>
          <w:i/>
          <w:sz w:val="20"/>
        </w:rPr>
      </w:pPr>
      <w:r>
        <w:rPr>
          <w:i/>
          <w:sz w:val="20"/>
        </w:rPr>
        <w:t>Este documento apresenta os critérios de avaliação da qualidade dos serviços, identificando indicadores, metas, mecanismos de cálculo, forma de acompanhamento e adequações de pagamento por eventual não atendimento das metas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estabelecidas.</w:t>
      </w:r>
    </w:p>
    <w:p>
      <w:pPr>
        <w:pStyle w:val="8"/>
        <w:numPr>
          <w:ilvl w:val="1"/>
          <w:numId w:val="1"/>
        </w:numPr>
        <w:tabs>
          <w:tab w:val="left" w:pos="510"/>
        </w:tabs>
        <w:spacing w:before="0" w:after="0" w:line="240" w:lineRule="auto"/>
        <w:ind w:left="120" w:right="1482" w:firstLine="0"/>
        <w:jc w:val="both"/>
        <w:rPr>
          <w:i/>
          <w:sz w:val="20"/>
        </w:rPr>
      </w:pPr>
      <w:r>
        <w:rPr>
          <w:i/>
          <w:sz w:val="20"/>
        </w:rPr>
        <w:t>Este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anexo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indissociável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Contrato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XXXXX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firmado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partir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Edital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XXXX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 seus demais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anexos.</w:t>
      </w:r>
    </w:p>
    <w:p>
      <w:pPr>
        <w:pStyle w:val="2"/>
        <w:spacing w:before="2"/>
        <w:rPr>
          <w:i/>
          <w:sz w:val="21"/>
        </w:rPr>
      </w:pPr>
    </w:p>
    <w:p>
      <w:pPr>
        <w:pStyle w:val="8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both"/>
        <w:rPr>
          <w:i/>
          <w:sz w:val="20"/>
        </w:rPr>
      </w:pPr>
      <w:r>
        <w:rPr>
          <w:i/>
          <w:w w:val="110"/>
          <w:sz w:val="20"/>
        </w:rPr>
        <w:t>DOS INDICADORES, DAS METAS E DOS MECANISMOS DE</w:t>
      </w:r>
      <w:r>
        <w:rPr>
          <w:i/>
          <w:spacing w:val="53"/>
          <w:w w:val="110"/>
          <w:sz w:val="20"/>
        </w:rPr>
        <w:t xml:space="preserve"> </w:t>
      </w:r>
      <w:r>
        <w:rPr>
          <w:i/>
          <w:w w:val="110"/>
          <w:sz w:val="20"/>
        </w:rPr>
        <w:t>CÁLCULO</w:t>
      </w:r>
    </w:p>
    <w:p>
      <w:pPr>
        <w:pStyle w:val="2"/>
        <w:spacing w:before="4"/>
        <w:rPr>
          <w:i/>
        </w:rPr>
      </w:pPr>
    </w:p>
    <w:p>
      <w:pPr>
        <w:pStyle w:val="8"/>
        <w:numPr>
          <w:ilvl w:val="1"/>
          <w:numId w:val="1"/>
        </w:numPr>
        <w:tabs>
          <w:tab w:val="left" w:pos="516"/>
        </w:tabs>
        <w:spacing w:before="0" w:after="0" w:line="240" w:lineRule="auto"/>
        <w:ind w:left="120" w:right="207" w:firstLine="0"/>
        <w:jc w:val="both"/>
        <w:rPr>
          <w:i/>
          <w:sz w:val="20"/>
        </w:rPr>
      </w:pPr>
      <w:r>
        <w:rPr>
          <w:i/>
          <w:sz w:val="20"/>
        </w:rPr>
        <w:t xml:space="preserve">Os serviços e produtos da </w:t>
      </w:r>
      <w:r>
        <w:rPr>
          <w:i/>
          <w:spacing w:val="-4"/>
          <w:sz w:val="20"/>
        </w:rPr>
        <w:t xml:space="preserve">CONTRATADA </w:t>
      </w:r>
      <w:r>
        <w:rPr>
          <w:i/>
          <w:sz w:val="20"/>
        </w:rPr>
        <w:t>serão avaliados por meio de cinco indicadores de qualidade: uso dos EPI's e uniformes, tempo de resposta às solicitações da contratante, atraso no pagamento de salários e outros benefícios, falta de materiais previstos em contrato e qualidade dos serviços</w:t>
      </w:r>
      <w:r>
        <w:rPr>
          <w:i/>
          <w:spacing w:val="-38"/>
          <w:sz w:val="20"/>
        </w:rPr>
        <w:t xml:space="preserve"> </w:t>
      </w:r>
      <w:r>
        <w:rPr>
          <w:i/>
          <w:sz w:val="20"/>
        </w:rPr>
        <w:t>prestados.</w:t>
      </w:r>
    </w:p>
    <w:p>
      <w:pPr>
        <w:pStyle w:val="8"/>
        <w:numPr>
          <w:ilvl w:val="1"/>
          <w:numId w:val="1"/>
        </w:numPr>
        <w:tabs>
          <w:tab w:val="left" w:pos="538"/>
        </w:tabs>
        <w:spacing w:before="0" w:after="0" w:line="240" w:lineRule="auto"/>
        <w:ind w:left="120" w:right="202" w:firstLine="0"/>
        <w:jc w:val="both"/>
        <w:rPr>
          <w:i/>
          <w:sz w:val="20"/>
        </w:rPr>
      </w:pPr>
      <w:r>
        <w:rPr>
          <w:i/>
          <w:sz w:val="20"/>
        </w:rPr>
        <w:t>Aos indicadores serão atribuídos pontos de qualidade, conforme critérios apresentados nas tabelas abaixo.</w:t>
      </w:r>
    </w:p>
    <w:p>
      <w:pPr>
        <w:pStyle w:val="8"/>
        <w:numPr>
          <w:ilvl w:val="2"/>
          <w:numId w:val="1"/>
        </w:numPr>
        <w:tabs>
          <w:tab w:val="left" w:pos="697"/>
        </w:tabs>
        <w:spacing w:before="0" w:after="0" w:line="240" w:lineRule="auto"/>
        <w:ind w:left="120" w:right="211" w:firstLine="0"/>
        <w:jc w:val="both"/>
        <w:rPr>
          <w:i/>
          <w:sz w:val="20"/>
        </w:rPr>
      </w:pPr>
      <w:r>
        <w:rPr>
          <w:i/>
          <w:sz w:val="20"/>
        </w:rPr>
        <w:t>Cada indicador contribui com uma quantidade diferenciada de pontos de qualidade. Essa diferença está relacionada à essencialidade do indicador para a qualidade dos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serviços.</w:t>
      </w:r>
    </w:p>
    <w:p>
      <w:pPr>
        <w:pStyle w:val="8"/>
        <w:numPr>
          <w:ilvl w:val="2"/>
          <w:numId w:val="1"/>
        </w:numPr>
        <w:tabs>
          <w:tab w:val="left" w:pos="695"/>
        </w:tabs>
        <w:spacing w:before="0" w:after="0" w:line="240" w:lineRule="auto"/>
        <w:ind w:left="120" w:right="201" w:firstLine="0"/>
        <w:jc w:val="both"/>
        <w:rPr>
          <w:i/>
          <w:sz w:val="20"/>
        </w:rPr>
      </w:pPr>
      <w:r>
        <w:rPr>
          <w:i/>
          <w:sz w:val="20"/>
        </w:rPr>
        <w:t>A pontuação final de qualidade dos serviços pode resultar em valores entre 0 (zero) e 100 (cem), correspondentes respectivamente às situações de serviço desprovido de qualidade e serviço com qualidade elevada.</w:t>
      </w:r>
    </w:p>
    <w:p>
      <w:pPr>
        <w:pStyle w:val="8"/>
        <w:numPr>
          <w:ilvl w:val="1"/>
          <w:numId w:val="1"/>
        </w:numPr>
        <w:tabs>
          <w:tab w:val="left" w:pos="524"/>
        </w:tabs>
        <w:spacing w:before="0" w:after="0" w:line="240" w:lineRule="auto"/>
        <w:ind w:left="120" w:right="217" w:firstLine="0"/>
        <w:jc w:val="both"/>
        <w:rPr>
          <w:i/>
          <w:sz w:val="20"/>
        </w:rPr>
      </w:pPr>
      <w:r>
        <w:rPr>
          <w:i/>
          <w:sz w:val="20"/>
        </w:rPr>
        <w:t>As tabelas abaixo apresentam os indicadores, as metas, os critérios e os mecanismos de cálculo da pontuação 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qualidade.</w:t>
      </w:r>
    </w:p>
    <w:p>
      <w:pPr>
        <w:pStyle w:val="2"/>
        <w:rPr>
          <w:i/>
        </w:rPr>
      </w:pPr>
    </w:p>
    <w:tbl>
      <w:tblPr>
        <w:tblStyle w:val="6"/>
        <w:tblW w:w="9018" w:type="dxa"/>
        <w:tblInd w:w="1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4"/>
        <w:gridCol w:w="60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9018" w:type="dxa"/>
            <w:gridSpan w:val="2"/>
          </w:tcPr>
          <w:p>
            <w:pPr>
              <w:pStyle w:val="9"/>
              <w:spacing w:before="68"/>
              <w:ind w:left="1456" w:right="1474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INDICADOR 1 - USO DOS EPI'S E UNIFORMES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</w:tcPr>
          <w:p>
            <w:pPr>
              <w:pStyle w:val="9"/>
              <w:ind w:left="1205" w:right="12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ITEM</w:t>
            </w:r>
          </w:p>
        </w:tc>
        <w:tc>
          <w:tcPr>
            <w:tcW w:w="6074" w:type="dxa"/>
          </w:tcPr>
          <w:p>
            <w:pPr>
              <w:pStyle w:val="9"/>
              <w:ind w:left="2414" w:right="24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DESCRIÇÃO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Finalidade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Mensurar o atendimento as exigências específicas relacionadas a segurança do trabalho, fornecimento e uso dos uniformes.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Meta a cumprir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Nenhuma ocorrência no mês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Instrumento de medição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Constatação formal de ocorrências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Forma de acompanhamento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Pessoal. Pelo fiscal do contrato através de livro de registros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Periodicidade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Diária, com aferição mensal do resultado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Mecanismo de Cálculo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Verificação da quantidade de ocorrências registradas no mês de referência</w:t>
            </w:r>
          </w:p>
          <w:p>
            <w:pPr>
              <w:pStyle w:val="9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(pessoa/dia)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Início de Vigência</w:t>
            </w:r>
          </w:p>
        </w:tc>
        <w:tc>
          <w:tcPr>
            <w:tcW w:w="607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A partir do início da prestação do serviço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2944" w:type="dxa"/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Faixas de ajuste no pagamento</w:t>
            </w:r>
          </w:p>
        </w:tc>
        <w:tc>
          <w:tcPr>
            <w:tcW w:w="6074" w:type="dxa"/>
          </w:tcPr>
          <w:p>
            <w:pPr>
              <w:pStyle w:val="9"/>
              <w:ind w:right="3295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 = 10 Pontos 1 ocorrência = 8 Pontos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20"/>
              </w:tabs>
              <w:spacing w:before="0" w:after="0" w:line="240" w:lineRule="auto"/>
              <w:ind w:left="219" w:right="0" w:hanging="16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ocorrências = 6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Pontos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20"/>
              </w:tabs>
              <w:spacing w:before="0" w:after="0" w:line="240" w:lineRule="auto"/>
              <w:ind w:left="219" w:right="0" w:hanging="16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ocorrências = 4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Pontos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20"/>
              </w:tabs>
              <w:spacing w:before="0" w:after="0" w:line="240" w:lineRule="auto"/>
              <w:ind w:left="219" w:right="0" w:hanging="16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ocorrências = 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Ponto</w:t>
            </w:r>
          </w:p>
        </w:tc>
      </w:tr>
    </w:tbl>
    <w:p>
      <w:pPr>
        <w:spacing w:after="0" w:line="240" w:lineRule="auto"/>
        <w:jc w:val="left"/>
        <w:rPr>
          <w:sz w:val="20"/>
        </w:rPr>
        <w:sectPr>
          <w:headerReference r:id="rId3" w:type="default"/>
          <w:footerReference r:id="rId4" w:type="default"/>
          <w:type w:val="continuous"/>
          <w:pgSz w:w="11900" w:h="16960"/>
          <w:pgMar w:top="1180" w:right="660" w:bottom="820" w:left="1300" w:header="740" w:footer="1968" w:gutter="0"/>
        </w:sectPr>
      </w:pPr>
    </w:p>
    <w:tbl>
      <w:tblPr>
        <w:tblStyle w:val="6"/>
        <w:tblW w:w="9641" w:type="dxa"/>
        <w:tblInd w:w="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4"/>
        <w:gridCol w:w="6074"/>
        <w:gridCol w:w="6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4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07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rPr>
                <w:i/>
                <w:sz w:val="20"/>
              </w:rPr>
            </w:pPr>
            <w:r>
              <w:rPr>
                <w:i/>
                <w:sz w:val="20"/>
              </w:rPr>
              <w:t>5 ou mais ocorrências = 0 Pontos</w:t>
            </w:r>
          </w:p>
        </w:tc>
        <w:tc>
          <w:tcPr>
            <w:tcW w:w="623" w:type="dxa"/>
            <w:vMerge w:val="restart"/>
            <w:tcBorders>
              <w:top w:val="single" w:color="000000" w:sz="8" w:space="0"/>
              <w:left w:val="single" w:color="000000" w:sz="2" w:space="0"/>
              <w:bottom w:val="nil"/>
              <w:right w:val="nil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Sanções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Ver item 3.2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Observações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33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INDICADOR 2 - TEMPO DE RESPOSTA ÀS SOLICITAÇÕES DA CONTRATANTE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1205" w:right="12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ITEM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2414" w:right="24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DESCRIÇÃO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Finalidade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Mensurar o atendimento as exigências específicas relacionadas a segurança do trabalho, fornecimento e uso dos uniformes.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Meta a cumprir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Até dia útil posterior à solicitação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Instrumento de medição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Constatação formal de ocorrências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Forma de acompanhamento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Pessoal. Pelo fiscal do contrato através de livro de registros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Periodicidade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Por evento/solicitação à contratante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Mecanismo de Cálculo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right="43"/>
              <w:rPr>
                <w:i/>
                <w:sz w:val="20"/>
              </w:rPr>
            </w:pPr>
            <w:r>
              <w:rPr>
                <w:i/>
                <w:sz w:val="20"/>
              </w:rPr>
              <w:t>Verificação da quantidade de ocorrências registradas com tempo de resposta superior a meta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Início de Vigência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A partir do início da prestação do serviço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Faixas de ajuste no pagamento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Sem atrasos = 10 Pontos</w:t>
            </w:r>
          </w:p>
          <w:p>
            <w:pPr>
              <w:pStyle w:val="9"/>
              <w:spacing w:before="0"/>
              <w:ind w:right="2908"/>
              <w:rPr>
                <w:i/>
                <w:sz w:val="20"/>
              </w:rPr>
            </w:pPr>
            <w:r>
              <w:rPr>
                <w:i/>
                <w:sz w:val="20"/>
              </w:rPr>
              <w:t>1 resposta com atraso = 8 Pontos 2 respostas com atraso = 6 Pontos 3 respostas com atraso = 4 Pontos 4 respostas com atraso = 2 Ponto 5 ou mais com atraso = 0 Pontos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Sanções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Ver item 3.2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Observações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O que se busca com esse indicador é obter ciência e comprometimento quanto a resolução das demandas levantadas pela contratante o mais breve possível, mesmo que a resolução definitiva de determinada demanda se dê</w:t>
            </w:r>
          </w:p>
          <w:p>
            <w:pPr>
              <w:pStyle w:val="9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em maior tempo.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143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INDICADOR 3 - ATRASO NO PAGAMENTO DE SALÁRIOS E OUTROS BENEFÍCIOS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1205" w:right="12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ITEM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2414" w:right="24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DESCRIÇÃO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Finalidade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Mitigar ocorrências de atrasos de pagamento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Meta a cumprir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Nenhuma ocorrência no mês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Instrumento de medição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Constatação formal de ocorrências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Forma de acompanhamento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Pessoal. Pelo fiscal do contrato através de livro de registros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Periodicidade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Mensal, nos termos do Art. 459, § 1º, do Decreto-Lei 5452/43, ou data base fornecida por convenção coletiva da categoria.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Mecanismo de Cálculo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Identificação de pelo menos uma ocorrência de atraso no mês de referência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960"/>
          <w:pgMar w:top="2760" w:right="660" w:bottom="2160" w:left="1300" w:header="740" w:footer="1968" w:gutter="0"/>
        </w:sectPr>
      </w:pPr>
    </w:p>
    <w:tbl>
      <w:tblPr>
        <w:tblStyle w:val="6"/>
        <w:tblW w:w="9641" w:type="dxa"/>
        <w:tblInd w:w="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4"/>
        <w:gridCol w:w="6074"/>
        <w:gridCol w:w="6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4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rPr>
                <w:i/>
                <w:sz w:val="20"/>
              </w:rPr>
            </w:pPr>
            <w:r>
              <w:rPr>
                <w:i/>
                <w:sz w:val="20"/>
              </w:rPr>
              <w:t>Início de Vigência</w:t>
            </w:r>
          </w:p>
        </w:tc>
        <w:tc>
          <w:tcPr>
            <w:tcW w:w="607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rPr>
                <w:i/>
                <w:sz w:val="20"/>
              </w:rPr>
            </w:pPr>
            <w:r>
              <w:rPr>
                <w:i/>
                <w:sz w:val="20"/>
              </w:rPr>
              <w:t>A partir do início da prestação do serviço</w:t>
            </w:r>
          </w:p>
        </w:tc>
        <w:tc>
          <w:tcPr>
            <w:tcW w:w="623" w:type="dxa"/>
            <w:vMerge w:val="restart"/>
            <w:tcBorders>
              <w:top w:val="single" w:color="000000" w:sz="8" w:space="0"/>
              <w:left w:val="single" w:color="000000" w:sz="2" w:space="0"/>
              <w:bottom w:val="nil"/>
              <w:right w:val="nil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Faixas de ajuste no pagamento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 = 35 Pontos</w:t>
            </w:r>
          </w:p>
          <w:p>
            <w:pPr>
              <w:pStyle w:val="9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Uma ou mais ocorrências = 0 Pontos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Sanções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Ver item 3.2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Observações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Atendendo ao disposto do Art. 459 § 1º da CLT.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931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INDICADOR 4 - FALTA DE MATERIAIS PREVISTOS EM CONTRATO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1205" w:right="12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ITEM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2414" w:right="24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DESCRIÇÃO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Finalidade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Garantir o nível de fornecimento e abastecimento dos materiais estimados necessários a execução do contrato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Meta a cumprir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Nenhuma ocorrência no mês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Instrumento de medição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Constatação formal de ocorrências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Forma de acompanhamento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Pessoal. Pelo fiscal do contrato através de livro de registros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Periodicidade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Por evento/constatação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Mecanismo de Cálculo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Identificação de pelo menos uma ocorrência de atraso no mês de referência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Início de Vigência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A partir do início da prestação do serviço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Faixas de ajuste no pagamento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 = 20 Pontos</w:t>
            </w:r>
          </w:p>
          <w:p>
            <w:pPr>
              <w:pStyle w:val="9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Uma ou mais ocorrências = 0 Pontos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Sanções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Ver item 3.2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Observações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CCCCC"/>
          </w:tcPr>
          <w:p>
            <w:pPr>
              <w:pStyle w:val="9"/>
              <w:spacing w:before="68"/>
              <w:ind w:left="1459" w:right="1474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  <w:shd w:val="clear" w:color="auto" w:fill="FFFFFF"/>
              </w:rPr>
              <w:t>INDICADOR 5 - QUALIDADE DOS SERVIÇOS PRESTADOS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1205" w:right="12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ITEM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ind w:left="2414" w:right="24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DESCRIÇÃO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Finalidade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Garantir o nível de qualidade global na prestação do serviço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Meta a cumprir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Quanto maior melhor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Instrumento de medição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Pesquisa de satisfação por meio de formulário</w:t>
            </w:r>
            <w:bookmarkStart w:id="0" w:name="_GoBack"/>
            <w:bookmarkEnd w:id="0"/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Forma de acompanhamento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Aplicação mensal de pesquisa de satisfação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Periodicidade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Mensal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Mecanismo de Cálculo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Descrita na Planilha de Avaliação da Qualidade dos Serviços prestados – Limpeza e Conservação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Início de Vigência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A partir do início da prestação do serviço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Faixas de ajuste no pagamento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De 0 a 25 Pontos conforme resultados da pesquisa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Sanções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Ver item 3.2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Observações</w:t>
            </w:r>
          </w:p>
        </w:tc>
        <w:tc>
          <w:tcPr>
            <w:tcW w:w="60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4"/>
              <w:rPr>
                <w:i/>
                <w:sz w:val="20"/>
              </w:rPr>
            </w:pPr>
            <w:r>
              <w:rPr>
                <w:i/>
                <w:sz w:val="20"/>
              </w:rPr>
              <w:t>Quesitos avaliados na pesquisa encontra-se no formulário abaixo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r:id="rId5" w:type="default"/>
          <w:footerReference r:id="rId6" w:type="default"/>
          <w:pgSz w:w="11900" w:h="16960"/>
          <w:pgMar w:top="2760" w:right="660" w:bottom="2160" w:left="1300" w:header="740" w:footer="1968" w:gutter="0"/>
        </w:sectPr>
      </w:pPr>
    </w:p>
    <w:tbl>
      <w:tblPr>
        <w:tblStyle w:val="6"/>
        <w:tblW w:w="9641" w:type="dxa"/>
        <w:tblInd w:w="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4538"/>
        <w:gridCol w:w="2268"/>
        <w:gridCol w:w="6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01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restart"/>
            <w:tcBorders>
              <w:top w:val="single" w:color="000000" w:sz="8" w:space="0"/>
              <w:left w:val="single" w:color="000000" w:sz="2" w:space="0"/>
              <w:bottom w:val="nil"/>
              <w:right w:val="nil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018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9"/>
              <w:spacing w:before="68"/>
              <w:ind w:left="599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PLANILHA DE AVALIAÇÃO DA QUALIDADE DOS SERVIÇOS PRESTADOS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018" w:type="dxa"/>
            <w:gridSpan w:val="3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 w:line="227" w:lineRule="exact"/>
              <w:ind w:left="1457" w:right="1474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LIMPEZA E CONSERVAÇÃO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Órgão/Unidade: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Nº Contrato: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Gestor/Responsável: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Contratada:</w:t>
            </w:r>
          </w:p>
        </w:tc>
        <w:tc>
          <w:tcPr>
            <w:tcW w:w="68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111"/>
              <w:rPr>
                <w:i/>
                <w:sz w:val="20"/>
              </w:rPr>
            </w:pPr>
            <w:r>
              <w:rPr>
                <w:i/>
                <w:sz w:val="20"/>
              </w:rPr>
              <w:t>Mês de referência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9018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9"/>
              <w:spacing w:line="22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Legenda do Grau de Satisfação: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9018" w:type="dxa"/>
            <w:gridSpan w:val="3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O = Ótimo B = Bom R = Regular I = Insatisfatório N = Não se aplica/Não sei responder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545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Descrição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75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Serviços/Procedimentos/Especificações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79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Grau de Satisfação</w:t>
            </w: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Banheiros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1062"/>
              <w:rPr>
                <w:i/>
                <w:sz w:val="20"/>
              </w:rPr>
            </w:pPr>
            <w:r>
              <w:rPr>
                <w:i/>
                <w:sz w:val="20"/>
              </w:rPr>
              <w:t>Limpeza do Chão, vasos e pias Parede e Teto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  <w:p>
            <w:pPr>
              <w:pStyle w:val="9"/>
              <w:spacing w:before="0"/>
              <w:ind w:left="55" w:right="6"/>
              <w:rPr>
                <w:i/>
                <w:sz w:val="20"/>
              </w:rPr>
            </w:pPr>
            <w:r>
              <w:rPr>
                <w:i/>
                <w:sz w:val="20"/>
              </w:rPr>
              <w:t>Abastecimento de Consumíveis (Papel, sabonete e outros)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Corredores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2523"/>
              <w:rPr>
                <w:i/>
                <w:sz w:val="20"/>
              </w:rPr>
            </w:pPr>
            <w:r>
              <w:rPr>
                <w:i/>
                <w:sz w:val="20"/>
              </w:rPr>
              <w:t>Limpeza dos Pisos Limpeza das Paredes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 Teto, Luminárias e Eletrocalhas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6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Salas de Aula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  <w:p>
            <w:pPr>
              <w:pStyle w:val="9"/>
              <w:spacing w:before="0"/>
              <w:ind w:left="55" w:right="329"/>
              <w:rPr>
                <w:i/>
                <w:sz w:val="20"/>
              </w:rPr>
            </w:pPr>
            <w:r>
              <w:rPr>
                <w:i/>
                <w:sz w:val="20"/>
              </w:rPr>
              <w:t>Limpar o Piso (Enceirar quando for caso) Limpeza dos móveis (Lustre e Remoção de Pó)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 Teto, Luminárias e Eletrocalhas Limpeza das Paredes e Janelas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right="288"/>
              <w:rPr>
                <w:i/>
                <w:sz w:val="20"/>
              </w:rPr>
            </w:pPr>
            <w:r>
              <w:rPr>
                <w:i/>
                <w:sz w:val="20"/>
              </w:rPr>
              <w:t>Laboratórios (no que couber)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  <w:p>
            <w:pPr>
              <w:pStyle w:val="9"/>
              <w:spacing w:before="0"/>
              <w:ind w:left="55" w:right="329"/>
              <w:rPr>
                <w:i/>
                <w:sz w:val="20"/>
              </w:rPr>
            </w:pPr>
            <w:r>
              <w:rPr>
                <w:i/>
                <w:sz w:val="20"/>
              </w:rPr>
              <w:t>Limpar o Piso (Enceirar quando for caso) Limpeza dos móveis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 Teto, Luminárias e Eletrocalhas Limpeza das Paredes e Janelas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Biblioteca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654"/>
              <w:rPr>
                <w:i/>
                <w:sz w:val="20"/>
              </w:rPr>
            </w:pPr>
            <w:r>
              <w:rPr>
                <w:i/>
                <w:sz w:val="20"/>
              </w:rPr>
              <w:t>Limpeza dos móveis e prateleiras (Lustre</w:t>
            </w:r>
            <w:r>
              <w:rPr>
                <w:i/>
                <w:spacing w:val="-21"/>
                <w:sz w:val="20"/>
              </w:rPr>
              <w:t xml:space="preserve"> </w:t>
            </w:r>
            <w:r>
              <w:rPr>
                <w:i/>
                <w:sz w:val="20"/>
              </w:rPr>
              <w:t>e Remoção 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Pó)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Piso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 Teto, Luminárias e Eletrocalhas Limpeza das Paredes e Janelas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Sala dos Professores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Limpar o Piso (Enceirar quando for caso)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960"/>
          <w:pgMar w:top="2760" w:right="660" w:bottom="2160" w:left="1300" w:header="740" w:footer="1968" w:gutter="0"/>
        </w:sectPr>
      </w:pPr>
    </w:p>
    <w:tbl>
      <w:tblPr>
        <w:tblStyle w:val="6"/>
        <w:tblW w:w="9644" w:type="dxa"/>
        <w:tblInd w:w="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3394"/>
        <w:gridCol w:w="838"/>
        <w:gridCol w:w="306"/>
        <w:gridCol w:w="525"/>
        <w:gridCol w:w="848"/>
        <w:gridCol w:w="897"/>
        <w:gridCol w:w="6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212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Limpeza dos móveis (Lustre e Remoção de Pó) Limpeza do Teto, Luminárias e Eletrocalhas Limpeza das Paredes e Janelas</w:t>
            </w:r>
          </w:p>
        </w:tc>
        <w:tc>
          <w:tcPr>
            <w:tcW w:w="2270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restart"/>
            <w:tcBorders>
              <w:top w:val="single" w:color="000000" w:sz="8" w:space="0"/>
              <w:left w:val="single" w:color="000000" w:sz="2" w:space="0"/>
              <w:bottom w:val="nil"/>
              <w:right w:val="nil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Salas Administrativas e Sala de Reuniões</w:t>
            </w:r>
          </w:p>
        </w:tc>
        <w:tc>
          <w:tcPr>
            <w:tcW w:w="45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Recolher o Lixo</w:t>
            </w:r>
          </w:p>
          <w:p>
            <w:pPr>
              <w:pStyle w:val="9"/>
              <w:spacing w:before="0"/>
              <w:ind w:left="55" w:right="95"/>
              <w:rPr>
                <w:i/>
                <w:sz w:val="20"/>
              </w:rPr>
            </w:pPr>
            <w:r>
              <w:rPr>
                <w:i/>
                <w:sz w:val="20"/>
              </w:rPr>
              <w:t>Limpar o Piso (Enceirar quando for caso) Limpeza dos móveis (Lustre e Remoção de Pó) Limpeza do Teto, Luminárias e Eletrocalhas Limpeza das Paredes e Janelas</w:t>
            </w:r>
          </w:p>
        </w:tc>
        <w:tc>
          <w:tcPr>
            <w:tcW w:w="227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Pátios</w:t>
            </w:r>
          </w:p>
        </w:tc>
        <w:tc>
          <w:tcPr>
            <w:tcW w:w="45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2434"/>
              <w:rPr>
                <w:i/>
                <w:sz w:val="20"/>
              </w:rPr>
            </w:pPr>
            <w:r>
              <w:rPr>
                <w:i/>
                <w:sz w:val="20"/>
              </w:rPr>
              <w:t>Limpeza do Piso Limpeza das Calçadas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Arruamentos (Coleta de Lixo Aparente) Estacionamentos</w:t>
            </w:r>
          </w:p>
        </w:tc>
        <w:tc>
          <w:tcPr>
            <w:tcW w:w="227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2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Funcionários e Execução do serviço</w:t>
            </w:r>
          </w:p>
        </w:tc>
        <w:tc>
          <w:tcPr>
            <w:tcW w:w="45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2846"/>
              <w:rPr>
                <w:i/>
                <w:sz w:val="20"/>
              </w:rPr>
            </w:pPr>
            <w:r>
              <w:rPr>
                <w:i/>
                <w:sz w:val="20"/>
              </w:rPr>
              <w:t>Uniformes/Crachá EPI's (Luvas, etc)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Equipamentos utilizados</w:t>
            </w:r>
          </w:p>
          <w:p>
            <w:pPr>
              <w:pStyle w:val="9"/>
              <w:spacing w:before="0"/>
              <w:ind w:left="55"/>
              <w:rPr>
                <w:i/>
                <w:sz w:val="20"/>
              </w:rPr>
            </w:pPr>
            <w:r>
              <w:rPr>
                <w:i/>
                <w:sz w:val="20"/>
              </w:rPr>
              <w:t>Qualidade dos Materiais disponibilizados pela empresa</w:t>
            </w:r>
          </w:p>
        </w:tc>
        <w:tc>
          <w:tcPr>
            <w:tcW w:w="227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902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Deixe aqui seu comentário ou observação para melhorar a qualidade dos serviços prestados ou queira esclarecer sua avaliação.</w:t>
            </w: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60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A – Número de quesitos pontuados, por grau de satisfação</w:t>
            </w:r>
          </w:p>
        </w:tc>
        <w:tc>
          <w:tcPr>
            <w:tcW w:w="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</w:t>
            </w: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R</w:t>
            </w:r>
          </w:p>
        </w:tc>
        <w:tc>
          <w:tcPr>
            <w:tcW w:w="8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5606" w:type="dxa"/>
            <w:gridSpan w:val="2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02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2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B – Total de quesitos avaliados</w:t>
            </w:r>
          </w:p>
          <w:p>
            <w:pPr>
              <w:pStyle w:val="9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(excluindo-se os N – Não se aplica/ Não sei responder)</w:t>
            </w:r>
          </w:p>
        </w:tc>
        <w:tc>
          <w:tcPr>
            <w:tcW w:w="17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72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6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C – Índice de Avaliação, por quesito (*)</w:t>
            </w:r>
          </w:p>
        </w:tc>
        <w:tc>
          <w:tcPr>
            <w:tcW w:w="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</w:t>
            </w: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R</w:t>
            </w:r>
          </w:p>
        </w:tc>
        <w:tc>
          <w:tcPr>
            <w:tcW w:w="8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6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902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02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(*) Dividir o número correspondente a cada grau de satisfação (O, B, R, I), pelo total de quesitos avaliados. [A/B].</w:t>
            </w: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2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rPr>
                <w:i/>
                <w:sz w:val="20"/>
              </w:rPr>
            </w:pPr>
            <w:r>
              <w:rPr>
                <w:i/>
                <w:sz w:val="20"/>
              </w:rPr>
              <w:t>D – Pontuação Total (**)</w:t>
            </w:r>
          </w:p>
        </w:tc>
        <w:tc>
          <w:tcPr>
            <w:tcW w:w="17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902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"/>
              <w:ind w:left="0"/>
              <w:rPr>
                <w:i/>
                <w:sz w:val="24"/>
              </w:rPr>
            </w:pPr>
          </w:p>
          <w:p>
            <w:pPr>
              <w:pStyle w:val="9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(**) Somatório dos índices de avaliação (item C) para os graus e satisfação (Ótimo e Bom), multiplicados pela pontuação limite 25. [(O+B)x25]</w:t>
            </w:r>
          </w:p>
        </w:tc>
        <w:tc>
          <w:tcPr>
            <w:tcW w:w="624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8"/>
        <w:numPr>
          <w:ilvl w:val="0"/>
          <w:numId w:val="1"/>
        </w:numPr>
        <w:tabs>
          <w:tab w:val="left" w:pos="388"/>
        </w:tabs>
        <w:spacing w:before="12" w:after="0" w:line="240" w:lineRule="auto"/>
        <w:ind w:left="387" w:right="0" w:hanging="268"/>
        <w:jc w:val="left"/>
        <w:rPr>
          <w:i/>
          <w:sz w:val="20"/>
        </w:rPr>
      </w:pPr>
      <w:r>
        <w:pict>
          <v:line id="_x0000_s1028" o:spid="_x0000_s1028" o:spt="20" style="position:absolute;left:0pt;margin-left:73.55pt;margin-top:408.7pt;height:0pt;width:445.4pt;mso-position-horizontal-relative:page;mso-position-vertical-relative:page;z-index:-253071360;mso-width-relative:page;mso-height-relative:page;" stroked="t" coordsize="21600,21600">
            <v:path arrowok="t"/>
            <v:fill focussize="0,0"/>
            <v:stroke weight="1pt" color="#000000"/>
            <v:imagedata o:title=""/>
            <o:lock v:ext="edit"/>
          </v:line>
        </w:pict>
      </w:r>
      <w:r>
        <w:rPr>
          <w:i/>
          <w:w w:val="110"/>
          <w:sz w:val="20"/>
        </w:rPr>
        <w:t>FAIXAS DE AJUSTE DE</w:t>
      </w:r>
      <w:r>
        <w:rPr>
          <w:i/>
          <w:spacing w:val="24"/>
          <w:w w:val="110"/>
          <w:sz w:val="20"/>
        </w:rPr>
        <w:t xml:space="preserve"> </w:t>
      </w:r>
      <w:r>
        <w:rPr>
          <w:i/>
          <w:w w:val="110"/>
          <w:sz w:val="20"/>
        </w:rPr>
        <w:t>PAGAMENTO</w:t>
      </w:r>
    </w:p>
    <w:p>
      <w:pPr>
        <w:spacing w:after="0" w:line="240" w:lineRule="auto"/>
        <w:jc w:val="left"/>
        <w:rPr>
          <w:sz w:val="20"/>
        </w:rPr>
        <w:sectPr>
          <w:pgSz w:w="11900" w:h="16960"/>
          <w:pgMar w:top="2760" w:right="660" w:bottom="2160" w:left="1300" w:header="740" w:footer="1968" w:gutter="0"/>
        </w:sectPr>
      </w:pPr>
    </w:p>
    <w:p>
      <w:pPr>
        <w:pStyle w:val="2"/>
        <w:spacing w:before="7"/>
        <w:rPr>
          <w:i/>
          <w:sz w:val="3"/>
        </w:rPr>
      </w:pPr>
    </w:p>
    <w:p>
      <w:pPr>
        <w:pStyle w:val="2"/>
        <w:spacing w:line="20" w:lineRule="exact"/>
        <w:ind w:left="108"/>
        <w:rPr>
          <w:i w:val="0"/>
          <w:sz w:val="2"/>
        </w:rPr>
      </w:pPr>
      <w:r>
        <w:rPr>
          <w:i w:val="0"/>
          <w:sz w:val="2"/>
        </w:rPr>
        <w:pict>
          <v:group id="_x0000_s1029" o:spid="_x0000_s1029" o:spt="203" style="height:1pt;width:482.1pt;" coordsize="9642,20">
            <o:lock v:ext="edit"/>
            <v:line id="_x0000_s1030" o:spid="_x0000_s1030" o:spt="20" style="position:absolute;left:0;top:10;height:0;width:9642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8"/>
        <w:numPr>
          <w:ilvl w:val="1"/>
          <w:numId w:val="3"/>
        </w:numPr>
        <w:tabs>
          <w:tab w:val="left" w:pos="446"/>
        </w:tabs>
        <w:spacing w:before="0" w:after="0" w:line="240" w:lineRule="auto"/>
        <w:ind w:left="120" w:right="934" w:firstLine="0"/>
        <w:jc w:val="left"/>
        <w:rPr>
          <w:i/>
          <w:sz w:val="20"/>
        </w:rPr>
      </w:pPr>
      <w:r>
        <w:rPr>
          <w:i/>
          <w:sz w:val="20"/>
        </w:rPr>
        <w:t>As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pontuações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qualidade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devem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totalizadas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mês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referência,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conforme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métodos apresentados nas tabelas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acima.</w:t>
      </w:r>
    </w:p>
    <w:p>
      <w:pPr>
        <w:pStyle w:val="2"/>
        <w:rPr>
          <w:i/>
        </w:rPr>
      </w:pPr>
    </w:p>
    <w:p>
      <w:pPr>
        <w:pStyle w:val="8"/>
        <w:numPr>
          <w:ilvl w:val="2"/>
          <w:numId w:val="3"/>
        </w:numPr>
        <w:tabs>
          <w:tab w:val="left" w:pos="668"/>
        </w:tabs>
        <w:spacing w:before="0" w:after="0" w:line="240" w:lineRule="auto"/>
        <w:ind w:left="120" w:right="383" w:firstLine="0"/>
        <w:jc w:val="both"/>
        <w:rPr>
          <w:i/>
          <w:sz w:val="20"/>
        </w:rPr>
      </w:pPr>
      <w:r>
        <w:rPr>
          <w:i/>
          <w:sz w:val="20"/>
        </w:rPr>
        <w:t>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aplicação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dos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critérios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averiguação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qualidade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resultará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pontuação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final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intervalo de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0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100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pontos,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correspondente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soma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pontuações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obtidas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cada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indicador,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conforme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fórmula abaixo:</w:t>
      </w:r>
    </w:p>
    <w:p>
      <w:pPr>
        <w:pStyle w:val="2"/>
        <w:spacing w:before="6"/>
        <w:rPr>
          <w:i/>
          <w:sz w:val="16"/>
        </w:rPr>
      </w:pPr>
      <w:r>
        <w:pict>
          <v:group id="_x0000_s1031" o:spid="_x0000_s1031" o:spt="203" style="position:absolute;left:0pt;margin-left:70.9pt;margin-top:11.5pt;height:28.8pt;width:485.1pt;mso-position-horizontal-relative:page;mso-wrap-distance-bottom:0pt;mso-wrap-distance-top:0pt;z-index:-251653120;mso-width-relative:page;mso-height-relative:page;" coordorigin="1418,230" coordsize="9702,576">
            <o:lock v:ext="edit"/>
            <v:line id="_x0000_s1032" o:spid="_x0000_s1032" o:spt="20" style="position:absolute;left:1419;top:233;height:0;width:9699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line id="_x0000_s1033" o:spid="_x0000_s1033" o:spt="20" style="position:absolute;left:1418;top:231;height:0;width:9701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line id="_x0000_s1034" o:spid="_x0000_s1034" o:spt="20" style="position:absolute;left:1418;top:805;height:0;width:9701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line id="_x0000_s1035" o:spid="_x0000_s1035" o:spt="20" style="position:absolute;left:1419;top:803;height:0;width:9699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line id="_x0000_s1036" o:spid="_x0000_s1036" o:spt="20" style="position:absolute;left:1419;top:232;height:572;width:0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line id="_x0000_s1037" o:spid="_x0000_s1037" o:spt="20" style="position:absolute;left:11119;top:230;height:576;width:0;" stroked="t" coordsize="21600,21600">
              <v:path arrowok="t"/>
              <v:fill focussize="0,0"/>
              <v:stroke weight="0.1pt" color="#000000"/>
              <v:imagedata o:title=""/>
              <o:lock v:ext="edit"/>
            </v:line>
            <v:shape id="_x0000_s1038" o:spid="_x0000_s1038" o:spt="202" type="#_x0000_t202" style="position:absolute;left:5812;top:293;height:454;width:52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ind w:left="0" w:right="-7" w:firstLine="55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Pontos “Indicador 1” + Pontos “Indicador 2” + Pontos “Indicador 3” + Pontos “Indicador 4” + Pontos “Indicador 5”.</w:t>
                    </w:r>
                  </w:p>
                </w:txbxContent>
              </v:textbox>
            </v:shape>
            <v:shape id="_x0000_s1039" o:spid="_x0000_s1039" o:spt="202" type="#_x0000_t202" style="position:absolute;left:2730;top:293;height:224;width:25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3" w:lineRule="exact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Pontuação total do serviço =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1"/>
        <w:rPr>
          <w:i/>
          <w:sz w:val="9"/>
        </w:rPr>
      </w:pPr>
    </w:p>
    <w:p>
      <w:pPr>
        <w:pStyle w:val="2"/>
        <w:spacing w:before="94"/>
        <w:ind w:left="120" w:right="89"/>
      </w:pPr>
      <w:r>
        <w:rPr>
          <w:i/>
        </w:rPr>
        <w:t xml:space="preserve">3.2. Os pagamentos devidos, relativos a cada mês de referência, devem ser ajustados pela pontuação total </w:t>
      </w:r>
      <w:r>
        <w:t>do serviço, conforme tabela e fórmula apresentadas abaixo:</w:t>
      </w:r>
    </w:p>
    <w:p>
      <w:pPr>
        <w:pStyle w:val="2"/>
        <w:spacing w:before="11"/>
        <w:rPr>
          <w:i/>
          <w:sz w:val="19"/>
        </w:rPr>
      </w:pPr>
    </w:p>
    <w:tbl>
      <w:tblPr>
        <w:tblStyle w:val="6"/>
        <w:tblW w:w="9700" w:type="dxa"/>
        <w:tblInd w:w="1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4"/>
        <w:gridCol w:w="3216"/>
        <w:gridCol w:w="32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3214" w:type="dxa"/>
          </w:tcPr>
          <w:p>
            <w:pPr>
              <w:pStyle w:val="9"/>
              <w:spacing w:before="68" w:line="259" w:lineRule="auto"/>
              <w:ind w:left="256" w:right="271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Faixas de pontuação de qualidade da ordem de serviço</w:t>
            </w:r>
          </w:p>
        </w:tc>
        <w:tc>
          <w:tcPr>
            <w:tcW w:w="3216" w:type="dxa"/>
          </w:tcPr>
          <w:p>
            <w:pPr>
              <w:pStyle w:val="9"/>
              <w:spacing w:before="68"/>
              <w:ind w:left="104" w:right="118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Pagamento devido</w:t>
            </w:r>
          </w:p>
        </w:tc>
        <w:tc>
          <w:tcPr>
            <w:tcW w:w="3270" w:type="dxa"/>
          </w:tcPr>
          <w:p>
            <w:pPr>
              <w:pStyle w:val="9"/>
              <w:spacing w:before="68" w:line="259" w:lineRule="auto"/>
              <w:ind w:left="1225" w:right="100" w:hanging="106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Fator de Ajuste de nível de serviço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6" w:right="2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 80 a 100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1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100% do valor previsto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1412" w:right="142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4" w:right="2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 70 a 79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97% do valor previsto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1412" w:right="142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0,97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4" w:right="2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 60 a 69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95% do valor previsto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1412" w:right="142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0,95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4" w:right="2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 50 a 59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93% do valor previsto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1412" w:right="142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0,93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4" w:right="2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 40 a 49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90% do valor previsto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1412" w:right="142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14" w:type="dxa"/>
          </w:tcPr>
          <w:p>
            <w:pPr>
              <w:pStyle w:val="9"/>
              <w:spacing w:before="54"/>
              <w:ind w:left="255" w:right="2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Abaixo de 40 pontos</w:t>
            </w:r>
          </w:p>
        </w:tc>
        <w:tc>
          <w:tcPr>
            <w:tcW w:w="3216" w:type="dxa"/>
          </w:tcPr>
          <w:p>
            <w:pPr>
              <w:pStyle w:val="9"/>
              <w:spacing w:before="54"/>
              <w:ind w:left="104" w:right="1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90% do valor previsto mais multa</w:t>
            </w:r>
          </w:p>
        </w:tc>
        <w:tc>
          <w:tcPr>
            <w:tcW w:w="3270" w:type="dxa"/>
          </w:tcPr>
          <w:p>
            <w:pPr>
              <w:pStyle w:val="9"/>
              <w:spacing w:before="54"/>
              <w:ind w:left="325" w:right="100" w:hanging="36"/>
              <w:rPr>
                <w:i/>
                <w:sz w:val="20"/>
              </w:rPr>
            </w:pPr>
            <w:r>
              <w:rPr>
                <w:i/>
                <w:sz w:val="20"/>
              </w:rPr>
              <w:t>0,90 + Avaliar necessidade de aplicação de multa contratual</w:t>
            </w:r>
          </w:p>
        </w:tc>
      </w:tr>
    </w:tbl>
    <w:p>
      <w:pPr>
        <w:pStyle w:val="2"/>
        <w:rPr>
          <w:i/>
        </w:rPr>
      </w:pPr>
    </w:p>
    <w:p>
      <w:pPr>
        <w:pStyle w:val="2"/>
        <w:spacing w:before="6"/>
        <w:rPr>
          <w:i/>
          <w:sz w:val="16"/>
        </w:rPr>
      </w:pPr>
      <w:r>
        <w:pict>
          <v:shape id="_x0000_s1040" o:spid="_x0000_s1040" o:spt="202" type="#_x0000_t202" style="position:absolute;left:0pt;margin-left:70.9pt;margin-top:11.5pt;height:28.6pt;width:485pt;mso-position-horizontal-relative:page;mso-wrap-distance-bottom:0pt;mso-wrap-distance-top:0pt;z-index:-251652096;mso-width-relative:page;mso-height-relative:page;" filled="f" stroked="t" coordsize="21600,21600">
            <v:path/>
            <v:fill on="f" focussize="0,0"/>
            <v:stroke weight="0.1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5"/>
                    <w:ind w:left="54" w:right="1965"/>
                  </w:pPr>
                  <w:r>
                    <w:rPr>
                      <w:i/>
                    </w:rPr>
                    <w:t xml:space="preserve">Valor devido por ordem de serviço = [(Valor mensal previsto) x (Fator de ajuste de </w:t>
                  </w:r>
                  <w:r>
                    <w:t>nível de serviço)]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4"/>
        <w:rPr>
          <w:i/>
          <w:sz w:val="17"/>
        </w:rPr>
      </w:pPr>
    </w:p>
    <w:p>
      <w:pPr>
        <w:pStyle w:val="2"/>
        <w:spacing w:before="1"/>
        <w:ind w:left="120"/>
        <w:rPr>
          <w:i/>
        </w:rPr>
      </w:pPr>
      <w:r>
        <w:rPr>
          <w:i/>
        </w:rPr>
        <w:t>3.3 A avaliação Abaixo de 40 pontos por três vezes ensejarão a rescisão do contrato.</w:t>
      </w:r>
    </w:p>
    <w:p>
      <w:pPr>
        <w:pStyle w:val="2"/>
        <w:spacing w:before="4"/>
        <w:rPr>
          <w:i/>
          <w:sz w:val="21"/>
        </w:rPr>
      </w:pPr>
    </w:p>
    <w:p>
      <w:pPr>
        <w:pStyle w:val="8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5"/>
          <w:sz w:val="20"/>
        </w:rPr>
        <w:t>CHECK LIST PARA A AVALIAÇÃO DE NÍVEL DOS SERVIÇOS</w:t>
      </w:r>
    </w:p>
    <w:p>
      <w:pPr>
        <w:pStyle w:val="2"/>
        <w:spacing w:before="4"/>
        <w:rPr>
          <w:i/>
        </w:rPr>
      </w:pPr>
    </w:p>
    <w:tbl>
      <w:tblPr>
        <w:tblStyle w:val="6"/>
        <w:tblW w:w="9700" w:type="dxa"/>
        <w:tblInd w:w="1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2412"/>
        <w:gridCol w:w="2410"/>
        <w:gridCol w:w="24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10" w:type="dxa"/>
          </w:tcPr>
          <w:p>
            <w:pPr>
              <w:pStyle w:val="9"/>
              <w:ind w:left="783"/>
              <w:rPr>
                <w:i/>
                <w:sz w:val="20"/>
              </w:rPr>
            </w:pPr>
            <w:r>
              <w:rPr>
                <w:i/>
                <w:sz w:val="20"/>
              </w:rPr>
              <w:t>Indicador</w:t>
            </w:r>
          </w:p>
        </w:tc>
        <w:tc>
          <w:tcPr>
            <w:tcW w:w="2412" w:type="dxa"/>
          </w:tcPr>
          <w:p>
            <w:pPr>
              <w:pStyle w:val="9"/>
              <w:ind w:left="685" w:right="374" w:hanging="306"/>
              <w:rPr>
                <w:i/>
                <w:sz w:val="20"/>
              </w:rPr>
            </w:pPr>
            <w:r>
              <w:rPr>
                <w:i/>
                <w:sz w:val="20"/>
              </w:rPr>
              <w:t>Critério (Faixas de Pontuação)</w:t>
            </w:r>
          </w:p>
        </w:tc>
        <w:tc>
          <w:tcPr>
            <w:tcW w:w="2410" w:type="dxa"/>
          </w:tcPr>
          <w:p>
            <w:pPr>
              <w:pStyle w:val="9"/>
              <w:ind w:left="54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Pontos</w:t>
            </w:r>
          </w:p>
        </w:tc>
        <w:tc>
          <w:tcPr>
            <w:tcW w:w="2468" w:type="dxa"/>
          </w:tcPr>
          <w:p>
            <w:pPr>
              <w:pStyle w:val="9"/>
              <w:ind w:left="793"/>
              <w:rPr>
                <w:i/>
                <w:sz w:val="20"/>
              </w:rPr>
            </w:pPr>
            <w:r>
              <w:rPr>
                <w:i/>
                <w:sz w:val="20"/>
              </w:rPr>
              <w:t>Avaliação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restart"/>
          </w:tcPr>
          <w:p>
            <w:pPr>
              <w:pStyle w:val="9"/>
              <w:ind w:left="755" w:hanging="434"/>
              <w:rPr>
                <w:i/>
                <w:sz w:val="20"/>
              </w:rPr>
            </w:pPr>
            <w:r>
              <w:rPr>
                <w:i/>
                <w:sz w:val="20"/>
              </w:rPr>
              <w:t>1 – Uso dos EPI's e uniformes</w:t>
            </w: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</w:t>
            </w:r>
          </w:p>
        </w:tc>
        <w:tc>
          <w:tcPr>
            <w:tcW w:w="2410" w:type="dxa"/>
          </w:tcPr>
          <w:p>
            <w:pPr>
              <w:pStyle w:val="9"/>
              <w:ind w:left="54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2468" w:type="dxa"/>
            <w:vMerge w:val="restart"/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 ocorrência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 ocorrências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 ocorrências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 ocorrências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38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 ocorrências ou mais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restart"/>
          </w:tcPr>
          <w:p>
            <w:pPr>
              <w:pStyle w:val="9"/>
              <w:ind w:left="545" w:hanging="370"/>
              <w:rPr>
                <w:i/>
                <w:sz w:val="20"/>
              </w:rPr>
            </w:pPr>
            <w:r>
              <w:rPr>
                <w:i/>
                <w:sz w:val="20"/>
              </w:rPr>
              <w:t>2 – Tempo de resposta às solicitações</w:t>
            </w:r>
          </w:p>
        </w:tc>
        <w:tc>
          <w:tcPr>
            <w:tcW w:w="2412" w:type="dxa"/>
          </w:tcPr>
          <w:p>
            <w:pPr>
              <w:pStyle w:val="9"/>
              <w:ind w:left="42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Sem atrasos</w:t>
            </w:r>
          </w:p>
        </w:tc>
        <w:tc>
          <w:tcPr>
            <w:tcW w:w="2410" w:type="dxa"/>
          </w:tcPr>
          <w:p>
            <w:pPr>
              <w:pStyle w:val="9"/>
              <w:ind w:left="54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2468" w:type="dxa"/>
            <w:vMerge w:val="restart"/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4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 resposta com atraso</w:t>
            </w:r>
          </w:p>
        </w:tc>
        <w:tc>
          <w:tcPr>
            <w:tcW w:w="2410" w:type="dxa"/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24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960"/>
          <w:pgMar w:top="2720" w:right="660" w:bottom="2160" w:left="1300" w:header="740" w:footer="1968" w:gutter="0"/>
        </w:sectPr>
      </w:pPr>
    </w:p>
    <w:p>
      <w:pPr>
        <w:pStyle w:val="2"/>
        <w:spacing w:before="7"/>
        <w:rPr>
          <w:rFonts w:ascii="Times New Roman"/>
          <w:i w:val="0"/>
          <w:sz w:val="3"/>
        </w:rPr>
      </w:pPr>
    </w:p>
    <w:tbl>
      <w:tblPr>
        <w:tblStyle w:val="6"/>
        <w:tblW w:w="9700" w:type="dxa"/>
        <w:tblInd w:w="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2412"/>
        <w:gridCol w:w="2410"/>
        <w:gridCol w:w="24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410" w:type="dxa"/>
            <w:vMerge w:val="restar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ind w:left="555"/>
              <w:rPr>
                <w:i/>
                <w:sz w:val="20"/>
              </w:rPr>
            </w:pPr>
            <w:r>
              <w:rPr>
                <w:i/>
                <w:sz w:val="20"/>
              </w:rPr>
              <w:t>da contratante</w:t>
            </w:r>
          </w:p>
        </w:tc>
        <w:tc>
          <w:tcPr>
            <w:tcW w:w="2412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 respostas com atraso</w:t>
            </w:r>
          </w:p>
        </w:tc>
        <w:tc>
          <w:tcPr>
            <w:tcW w:w="241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4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2468" w:type="dxa"/>
            <w:vMerge w:val="restar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41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 respostas com atraso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246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241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 respostas com atraso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246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41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1"/>
              <w:ind w:left="845" w:right="123" w:hanging="688"/>
              <w:rPr>
                <w:i/>
                <w:sz w:val="20"/>
              </w:rPr>
            </w:pPr>
            <w:r>
              <w:rPr>
                <w:i/>
                <w:sz w:val="20"/>
              </w:rPr>
              <w:t>5 respostas com atraso ou mais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51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</w:t>
            </w:r>
          </w:p>
        </w:tc>
        <w:tc>
          <w:tcPr>
            <w:tcW w:w="246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 – Atraso no pagamento de salários e</w:t>
            </w:r>
          </w:p>
          <w:p>
            <w:pPr>
              <w:pStyle w:val="9"/>
              <w:spacing w:before="0"/>
              <w:ind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outros benefícios</w:t>
            </w: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4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35</w:t>
            </w:r>
          </w:p>
        </w:tc>
        <w:tc>
          <w:tcPr>
            <w:tcW w:w="24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41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3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Uma ou mais ocorrências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</w:t>
            </w:r>
          </w:p>
        </w:tc>
        <w:tc>
          <w:tcPr>
            <w:tcW w:w="246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2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 – Falta de materiais previstos em</w:t>
            </w:r>
          </w:p>
          <w:p>
            <w:pPr>
              <w:pStyle w:val="9"/>
              <w:spacing w:before="0"/>
              <w:ind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contrato</w:t>
            </w: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0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Sem ocorrências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4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24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41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43" w:right="5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Uma ou mais ocorrências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0"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</w:t>
            </w:r>
          </w:p>
        </w:tc>
        <w:tc>
          <w:tcPr>
            <w:tcW w:w="246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361" w:right="356" w:firstLine="22"/>
              <w:rPr>
                <w:i/>
                <w:sz w:val="20"/>
              </w:rPr>
            </w:pPr>
            <w:r>
              <w:rPr>
                <w:i/>
                <w:sz w:val="20"/>
              </w:rPr>
              <w:t>5 – Qualidade dos serviços prestados</w:t>
            </w: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795" w:right="123" w:hanging="666"/>
              <w:rPr>
                <w:i/>
                <w:sz w:val="20"/>
              </w:rPr>
            </w:pPr>
            <w:r>
              <w:rPr>
                <w:i/>
                <w:sz w:val="20"/>
              </w:rPr>
              <w:t>Conforme resultados da pesquisa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ind w:left="55"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 – 25</w:t>
            </w:r>
          </w:p>
        </w:tc>
        <w:tc>
          <w:tcPr>
            <w:tcW w:w="24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2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68"/>
              <w:ind w:left="2050" w:right="2065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Pontuação Total do Serviço</w:t>
            </w:r>
          </w:p>
        </w:tc>
        <w:tc>
          <w:tcPr>
            <w:tcW w:w="24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9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/>
    <w:sectPr>
      <w:pgSz w:w="11900" w:h="16960"/>
      <w:pgMar w:top="2720" w:right="660" w:bottom="2160" w:left="1300" w:header="740" w:footer="196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  <w:lang w:val="pt-BR"/>
      </w:rPr>
    </w:pPr>
    <w:r>
      <w:rPr>
        <w:i w:val="0"/>
        <w:lang w:val="pt-BR"/>
      </w:rPr>
      <w:t>Edita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  <w:lang w:val="pt-BR"/>
      </w:rPr>
    </w:pPr>
    <w:r>
      <w:rPr>
        <w:i w:val="0"/>
        <w:lang w:val="pt-BR"/>
      </w:rPr>
      <w:t>E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spacing w:line="14" w:lineRule="auto"/>
      <w:rPr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spacing w:line="14" w:lineRule="auto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3"/>
      <w:numFmt w:val="decimal"/>
      <w:lvlText w:val="%1"/>
      <w:lvlJc w:val="left"/>
      <w:pPr>
        <w:ind w:left="120" w:hanging="326"/>
        <w:jc w:val="left"/>
      </w:pPr>
      <w:rPr>
        <w:rFonts w:hint="default"/>
        <w:lang w:val="pt-PT" w:eastAsia="pt-PT" w:bidi="pt-PT"/>
      </w:rPr>
    </w:lvl>
    <w:lvl w:ilvl="1" w:tentative="0">
      <w:start w:val="1"/>
      <w:numFmt w:val="decimal"/>
      <w:lvlText w:val="%1.%2"/>
      <w:lvlJc w:val="left"/>
      <w:pPr>
        <w:ind w:left="120" w:hanging="326"/>
        <w:jc w:val="left"/>
      </w:pPr>
      <w:rPr>
        <w:rFonts w:hint="default" w:ascii="Arial" w:hAnsi="Arial" w:eastAsia="Arial" w:cs="Arial"/>
        <w:i/>
        <w:spacing w:val="-2"/>
        <w:w w:val="100"/>
        <w:sz w:val="20"/>
        <w:szCs w:val="20"/>
        <w:lang w:val="pt-PT" w:eastAsia="pt-PT" w:bidi="pt-PT"/>
      </w:rPr>
    </w:lvl>
    <w:lvl w:ilvl="2" w:tentative="0">
      <w:start w:val="1"/>
      <w:numFmt w:val="decimal"/>
      <w:lvlText w:val="%1.%2.%3."/>
      <w:lvlJc w:val="left"/>
      <w:pPr>
        <w:ind w:left="120" w:hanging="548"/>
        <w:jc w:val="left"/>
      </w:pPr>
      <w:rPr>
        <w:rFonts w:hint="default" w:ascii="Arial" w:hAnsi="Arial" w:eastAsia="Arial" w:cs="Arial"/>
        <w:i/>
        <w:spacing w:val="-2"/>
        <w:w w:val="100"/>
        <w:sz w:val="20"/>
        <w:szCs w:val="20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3066" w:hanging="548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4048" w:hanging="548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5030" w:hanging="548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6012" w:hanging="548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6994" w:hanging="548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7976" w:hanging="548"/>
      </w:pPr>
      <w:rPr>
        <w:rFonts w:hint="default"/>
        <w:lang w:val="pt-PT" w:eastAsia="pt-PT" w:bidi="pt-PT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87" w:hanging="268"/>
        <w:jc w:val="left"/>
      </w:pPr>
      <w:rPr>
        <w:rFonts w:hint="default" w:ascii="Arial" w:hAnsi="Arial" w:eastAsia="Arial" w:cs="Arial"/>
        <w:i/>
        <w:w w:val="119"/>
        <w:sz w:val="20"/>
        <w:szCs w:val="20"/>
        <w:lang w:val="pt-PT" w:eastAsia="pt-PT" w:bidi="pt-PT"/>
      </w:rPr>
    </w:lvl>
    <w:lvl w:ilvl="1" w:tentative="0">
      <w:start w:val="1"/>
      <w:numFmt w:val="decimal"/>
      <w:lvlText w:val="%1.%2."/>
      <w:lvlJc w:val="left"/>
      <w:pPr>
        <w:ind w:left="120" w:hanging="476"/>
        <w:jc w:val="left"/>
      </w:pPr>
      <w:rPr>
        <w:rFonts w:hint="default" w:ascii="Arial" w:hAnsi="Arial" w:eastAsia="Arial" w:cs="Arial"/>
        <w:i/>
        <w:spacing w:val="-26"/>
        <w:w w:val="100"/>
        <w:sz w:val="20"/>
        <w:szCs w:val="20"/>
        <w:lang w:val="pt-PT" w:eastAsia="pt-PT" w:bidi="pt-PT"/>
      </w:rPr>
    </w:lvl>
    <w:lvl w:ilvl="2" w:tentative="0">
      <w:start w:val="1"/>
      <w:numFmt w:val="decimal"/>
      <w:lvlText w:val="%1.%2.%3."/>
      <w:lvlJc w:val="left"/>
      <w:pPr>
        <w:ind w:left="120" w:hanging="577"/>
        <w:jc w:val="left"/>
      </w:pPr>
      <w:rPr>
        <w:rFonts w:hint="default" w:ascii="Arial" w:hAnsi="Arial" w:eastAsia="Arial" w:cs="Arial"/>
        <w:i/>
        <w:spacing w:val="-2"/>
        <w:w w:val="100"/>
        <w:sz w:val="20"/>
        <w:szCs w:val="20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2504" w:hanging="577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3566" w:hanging="577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4628" w:hanging="577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5691" w:hanging="577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6753" w:hanging="577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7815" w:hanging="577"/>
      </w:pPr>
      <w:rPr>
        <w:rFonts w:hint="default"/>
        <w:lang w:val="pt-PT" w:eastAsia="pt-PT" w:bidi="pt-PT"/>
      </w:rPr>
    </w:lvl>
  </w:abstractNum>
  <w:abstractNum w:abstractNumId="2">
    <w:nsid w:val="59ADCABA"/>
    <w:multiLevelType w:val="multilevel"/>
    <w:tmpl w:val="59ADCABA"/>
    <w:lvl w:ilvl="0" w:tentative="0">
      <w:start w:val="2"/>
      <w:numFmt w:val="decimal"/>
      <w:lvlText w:val="%1"/>
      <w:lvlJc w:val="left"/>
      <w:pPr>
        <w:ind w:left="219" w:hanging="166"/>
        <w:jc w:val="left"/>
      </w:pPr>
      <w:rPr>
        <w:rFonts w:hint="default" w:ascii="Arial" w:hAnsi="Arial" w:eastAsia="Arial" w:cs="Arial"/>
        <w:i/>
        <w:w w:val="100"/>
        <w:sz w:val="20"/>
        <w:szCs w:val="20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804" w:hanging="166"/>
      </w:pPr>
      <w:rPr>
        <w:rFonts w:hint="default"/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1389" w:hanging="166"/>
      </w:pPr>
      <w:rPr>
        <w:rFonts w:hint="default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1974" w:hanging="166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2559" w:hanging="166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3144" w:hanging="166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3729" w:hanging="166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4314" w:hanging="166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4899" w:hanging="166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0000"/>
    <w:rsid w:val="01747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pt-PT" w:bidi="pt-PT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i/>
      <w:sz w:val="20"/>
      <w:szCs w:val="20"/>
      <w:lang w:val="pt-PT" w:eastAsia="pt-PT" w:bidi="pt-PT"/>
    </w:rPr>
  </w:style>
  <w:style w:type="paragraph" w:styleId="3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4">
    <w:name w:val="footer"/>
    <w:basedOn w:val="1"/>
    <w:uiPriority w:val="0"/>
    <w:pPr>
      <w:tabs>
        <w:tab w:val="center" w:pos="4252"/>
        <w:tab w:val="right" w:pos="8504"/>
      </w:tabs>
    </w:p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/>
      <w:jc w:val="both"/>
    </w:pPr>
    <w:rPr>
      <w:rFonts w:ascii="Arial" w:hAnsi="Arial" w:eastAsia="Arial" w:cs="Arial"/>
      <w:lang w:val="pt-PT" w:eastAsia="pt-PT" w:bidi="pt-PT"/>
    </w:rPr>
  </w:style>
  <w:style w:type="paragraph" w:customStyle="1" w:styleId="9">
    <w:name w:val="Table Paragraph"/>
    <w:basedOn w:val="1"/>
    <w:qFormat/>
    <w:uiPriority w:val="1"/>
    <w:pPr>
      <w:spacing w:before="52"/>
      <w:ind w:left="53"/>
    </w:pPr>
    <w:rPr>
      <w:rFonts w:ascii="Arial" w:hAnsi="Arial" w:eastAsia="Arial" w:cs="Arial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8"/>
    <customShpInfo spid="_x0000_s1030"/>
    <customShpInfo spid="_x0000_s1029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31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2019-02-27T18:57:00Z</dcterms:created>
  <dc:creator>ronilson.santos</dc:creator>
  <cp:lastModifiedBy>ronilson.santos</cp:lastModifiedBy>
  <dcterms:modified xsi:type="dcterms:W3CDTF">2019-02-27T19:04:56Z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Creator">
    <vt:lpwstr>PDFium</vt:lpwstr>
  </property>
  <property fmtid="{D5CDD505-2E9C-101B-9397-08002B2CF9AE}" pid="4" name="LastSaved">
    <vt:filetime>2019-02-27T00:00:00Z</vt:filetime>
  </property>
  <property fmtid="{D5CDD505-2E9C-101B-9397-08002B2CF9AE}" pid="5" name="KSOProductBuildVer">
    <vt:lpwstr>1046-10.2.0.6020</vt:lpwstr>
  </property>
</Properties>
</file>