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Open Sans" w:hAnsi="Open Sans" w:cs="Open Sans"/>
          <w:b/>
          <w:bCs/>
          <w:iCs/>
          <w:color w:val="000000"/>
          <w:szCs w:val="20"/>
        </w:rPr>
      </w:pPr>
      <w:r>
        <w:rPr>
          <w:rFonts w:ascii="Open Sans" w:hAnsi="Open Sans" w:cs="Open Sans"/>
          <w:b/>
          <w:bCs/>
          <w:color w:val="000000"/>
          <w:szCs w:val="20"/>
        </w:rPr>
        <w:t>TERMO DE REFERÊNCIA</w:t>
      </w:r>
    </w:p>
    <w:p>
      <w:pPr>
        <w:jc w:val="center"/>
        <w:rPr>
          <w:rFonts w:ascii="Open Sans" w:hAnsi="Open Sans" w:cs="Open Sans"/>
          <w:b/>
          <w:bCs/>
          <w:iCs/>
          <w:color w:val="000000"/>
          <w:szCs w:val="20"/>
        </w:rPr>
      </w:pPr>
      <w:r>
        <w:rPr>
          <w:rFonts w:ascii="Open Sans" w:hAnsi="Open Sans" w:cs="Open Sans"/>
          <w:b/>
          <w:bCs/>
          <w:iCs/>
          <w:color w:val="000000"/>
          <w:szCs w:val="20"/>
        </w:rPr>
        <w:t>SISTEMA DE COTAÇÃO ELETRÔNICA DE PREÇOS</w:t>
      </w:r>
    </w:p>
    <w:p>
      <w:pPr>
        <w:jc w:val="center"/>
        <w:rPr>
          <w:rFonts w:ascii="Open Sans" w:hAnsi="Open Sans" w:cs="Open Sans"/>
          <w:bCs/>
          <w:iCs/>
          <w:color w:val="000000"/>
          <w:szCs w:val="20"/>
        </w:rPr>
      </w:pPr>
      <w:r>
        <w:rPr>
          <w:rFonts w:ascii="Open Sans" w:hAnsi="Open Sans" w:cs="Open Sans"/>
          <w:bCs/>
          <w:iCs/>
          <w:color w:val="000000"/>
          <w:szCs w:val="20"/>
        </w:rPr>
        <w:t>(Processo Administrativo nº 23462.000529/2017-48)</w:t>
      </w:r>
    </w:p>
    <w:p>
      <w:pPr>
        <w:pStyle w:val="32"/>
        <w:shd w:val="clear" w:color="auto" w:fill="D8D8D8" w:themeFill="background1" w:themeFillShade="D9"/>
        <w:rPr>
          <w:rFonts w:ascii="Open Sans" w:hAnsi="Open Sans" w:cs="Open Sans"/>
        </w:rPr>
      </w:pPr>
      <w:r>
        <w:rPr>
          <w:rFonts w:ascii="Open Sans" w:hAnsi="Open Sans" w:cs="Open Sans"/>
        </w:rPr>
        <w:t>DO OBJETO</w:t>
      </w:r>
    </w:p>
    <w:p>
      <w:pPr>
        <w:numPr>
          <w:ilvl w:val="1"/>
          <w:numId w:val="2"/>
        </w:numPr>
        <w:spacing w:before="120" w:after="120" w:line="276" w:lineRule="auto"/>
        <w:ind w:left="425" w:firstLine="0"/>
        <w:jc w:val="both"/>
        <w:rPr>
          <w:rFonts w:ascii="Open Sans" w:hAnsi="Open Sans" w:cs="Open Sans"/>
          <w:b/>
          <w:i/>
          <w:color w:val="FF0000"/>
          <w:szCs w:val="20"/>
        </w:rPr>
      </w:pPr>
      <w:r>
        <w:rPr>
          <w:rFonts w:ascii="Open Sans" w:hAnsi="Open Sans" w:cs="Open Sans"/>
          <w:szCs w:val="20"/>
        </w:rPr>
        <w:t xml:space="preserve">Aquisição de </w:t>
      </w:r>
      <w:r>
        <w:rPr>
          <w:rFonts w:ascii="Open Sans" w:hAnsi="Open Sans" w:cs="Open Sans"/>
          <w:b/>
          <w:szCs w:val="20"/>
        </w:rPr>
        <w:t>água mineral</w:t>
      </w:r>
      <w:r>
        <w:rPr>
          <w:rFonts w:ascii="Open Sans" w:hAnsi="Open Sans" w:cs="Open Sans"/>
          <w:szCs w:val="20"/>
        </w:rPr>
        <w:t>, conforme condições, quantidades, exigências e estimativas estabelecidas neste instrumento.</w:t>
      </w:r>
    </w:p>
    <w:tbl>
      <w:tblPr>
        <w:tblStyle w:val="16"/>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48"/>
        <w:gridCol w:w="1615"/>
        <w:gridCol w:w="1107"/>
        <w:gridCol w:w="1478"/>
        <w:gridCol w:w="1832"/>
        <w:gridCol w:w="157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blHeader/>
          <w:jc w:val="center"/>
        </w:trPr>
        <w:tc>
          <w:tcPr>
            <w:tcW w:w="648" w:type="dxa"/>
            <w:shd w:val="clear" w:color="auto" w:fill="F1F1F1" w:themeFill="background1" w:themeFillShade="F2"/>
            <w:tcMar>
              <w:top w:w="0" w:type="dxa"/>
              <w:left w:w="70" w:type="dxa"/>
              <w:bottom w:w="0" w:type="dxa"/>
              <w:right w:w="70" w:type="dxa"/>
            </w:tcMar>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ITEM</w:t>
            </w:r>
          </w:p>
        </w:tc>
        <w:tc>
          <w:tcPr>
            <w:tcW w:w="1615" w:type="dxa"/>
            <w:shd w:val="clear" w:color="auto" w:fill="F1F1F1" w:themeFill="background1" w:themeFillShade="F2"/>
            <w:tcMar>
              <w:top w:w="0" w:type="dxa"/>
              <w:left w:w="70" w:type="dxa"/>
              <w:bottom w:w="0" w:type="dxa"/>
              <w:right w:w="70" w:type="dxa"/>
            </w:tcMar>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ESPECIFICAÇÃO DO MATERIAL</w:t>
            </w:r>
          </w:p>
        </w:tc>
        <w:tc>
          <w:tcPr>
            <w:tcW w:w="1107" w:type="dxa"/>
            <w:shd w:val="clear" w:color="auto" w:fill="F1F1F1" w:themeFill="background1" w:themeFillShade="F2"/>
            <w:tcMar>
              <w:top w:w="0" w:type="dxa"/>
              <w:left w:w="70" w:type="dxa"/>
              <w:bottom w:w="0" w:type="dxa"/>
              <w:right w:w="70" w:type="dxa"/>
            </w:tcMar>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UNIDADE</w:t>
            </w:r>
          </w:p>
        </w:tc>
        <w:tc>
          <w:tcPr>
            <w:tcW w:w="1478" w:type="dxa"/>
            <w:shd w:val="clear" w:color="auto" w:fill="F1F1F1" w:themeFill="background1" w:themeFillShade="F2"/>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QUANTIDADE</w:t>
            </w:r>
          </w:p>
        </w:tc>
        <w:tc>
          <w:tcPr>
            <w:tcW w:w="1832" w:type="dxa"/>
            <w:shd w:val="clear" w:color="auto" w:fill="F1F1F1" w:themeFill="background1" w:themeFillShade="F2"/>
            <w:tcMar>
              <w:top w:w="0" w:type="dxa"/>
              <w:left w:w="70" w:type="dxa"/>
              <w:bottom w:w="0" w:type="dxa"/>
              <w:right w:w="70" w:type="dxa"/>
            </w:tcMar>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VALOR UNITÁRIO</w:t>
            </w:r>
          </w:p>
          <w:p>
            <w:pPr>
              <w:jc w:val="center"/>
              <w:rPr>
                <w:rFonts w:ascii="Open Sans" w:hAnsi="Open Sans" w:cs="Open Sans"/>
                <w:b/>
                <w:bCs/>
                <w:color w:val="000000"/>
                <w:sz w:val="18"/>
                <w:szCs w:val="16"/>
              </w:rPr>
            </w:pPr>
            <w:r>
              <w:rPr>
                <w:rFonts w:ascii="Open Sans" w:hAnsi="Open Sans" w:cs="Open Sans"/>
                <w:b/>
                <w:bCs/>
                <w:color w:val="000000"/>
                <w:sz w:val="18"/>
                <w:szCs w:val="16"/>
              </w:rPr>
              <w:t>ESTIMADO (R$)</w:t>
            </w:r>
          </w:p>
        </w:tc>
        <w:tc>
          <w:tcPr>
            <w:tcW w:w="1576" w:type="dxa"/>
            <w:shd w:val="clear" w:color="auto" w:fill="F1F1F1" w:themeFill="background1" w:themeFillShade="F2"/>
            <w:tcMar>
              <w:top w:w="0" w:type="dxa"/>
              <w:left w:w="70" w:type="dxa"/>
              <w:bottom w:w="0" w:type="dxa"/>
              <w:right w:w="70" w:type="dxa"/>
            </w:tcMar>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VALOR TOTAL</w:t>
            </w:r>
          </w:p>
          <w:p>
            <w:pPr>
              <w:jc w:val="center"/>
              <w:rPr>
                <w:rFonts w:ascii="Open Sans" w:hAnsi="Open Sans" w:cs="Open Sans"/>
                <w:b/>
                <w:bCs/>
                <w:color w:val="000000"/>
                <w:sz w:val="18"/>
                <w:szCs w:val="16"/>
              </w:rPr>
            </w:pPr>
            <w:r>
              <w:rPr>
                <w:rFonts w:ascii="Open Sans" w:hAnsi="Open Sans" w:cs="Open Sans"/>
                <w:b/>
                <w:bCs/>
                <w:color w:val="000000"/>
                <w:sz w:val="18"/>
                <w:szCs w:val="16"/>
              </w:rPr>
              <w:t>ESTIMADO (R$)</w:t>
            </w:r>
          </w:p>
        </w:tc>
        <w:tc>
          <w:tcPr>
            <w:tcW w:w="1015" w:type="dxa"/>
            <w:shd w:val="clear" w:color="auto" w:fill="F1F1F1" w:themeFill="background1" w:themeFillShade="F2"/>
            <w:tcMar>
              <w:top w:w="0" w:type="dxa"/>
              <w:left w:w="70" w:type="dxa"/>
              <w:bottom w:w="0" w:type="dxa"/>
              <w:right w:w="70" w:type="dxa"/>
            </w:tcMar>
            <w:vAlign w:val="center"/>
          </w:tcPr>
          <w:p>
            <w:pPr>
              <w:jc w:val="center"/>
              <w:rPr>
                <w:rFonts w:ascii="Open Sans" w:hAnsi="Open Sans" w:cs="Open Sans"/>
                <w:b/>
                <w:bCs/>
                <w:color w:val="000000"/>
                <w:sz w:val="18"/>
                <w:szCs w:val="16"/>
              </w:rPr>
            </w:pPr>
            <w:r>
              <w:rPr>
                <w:rFonts w:ascii="Open Sans" w:hAnsi="Open Sans" w:cs="Open Sans"/>
                <w:b/>
                <w:bCs/>
                <w:color w:val="000000"/>
                <w:sz w:val="18"/>
                <w:szCs w:val="16"/>
              </w:rPr>
              <w:t>CÓDIGO</w:t>
            </w:r>
          </w:p>
          <w:p>
            <w:pPr>
              <w:jc w:val="center"/>
              <w:rPr>
                <w:rFonts w:ascii="Open Sans" w:hAnsi="Open Sans" w:cs="Open Sans"/>
                <w:b/>
                <w:bCs/>
                <w:color w:val="000000"/>
                <w:sz w:val="18"/>
                <w:szCs w:val="16"/>
              </w:rPr>
            </w:pPr>
            <w:r>
              <w:rPr>
                <w:rFonts w:ascii="Open Sans" w:hAnsi="Open Sans" w:cs="Open Sans"/>
                <w:b/>
                <w:bCs/>
                <w:color w:val="000000"/>
                <w:sz w:val="18"/>
                <w:szCs w:val="16"/>
              </w:rPr>
              <w:t>CATMAT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jc w:val="center"/>
        </w:trPr>
        <w:tc>
          <w:tcPr>
            <w:tcW w:w="648" w:type="dxa"/>
            <w:shd w:val="clear" w:color="auto" w:fill="auto"/>
            <w:tcMar>
              <w:top w:w="0" w:type="dxa"/>
              <w:left w:w="70" w:type="dxa"/>
              <w:bottom w:w="0" w:type="dxa"/>
              <w:right w:w="70" w:type="dxa"/>
            </w:tcMar>
            <w:vAlign w:val="center"/>
          </w:tcPr>
          <w:p>
            <w:pPr>
              <w:jc w:val="center"/>
              <w:rPr>
                <w:rFonts w:ascii="Open Sans" w:hAnsi="Open Sans" w:cs="Open Sans"/>
                <w:b/>
                <w:bCs/>
                <w:color w:val="000000"/>
                <w:sz w:val="16"/>
                <w:szCs w:val="16"/>
              </w:rPr>
            </w:pPr>
            <w:r>
              <w:rPr>
                <w:rFonts w:ascii="Open Sans" w:hAnsi="Open Sans" w:cs="Open Sans"/>
                <w:b/>
                <w:bCs/>
                <w:color w:val="000000"/>
                <w:sz w:val="16"/>
                <w:szCs w:val="16"/>
              </w:rPr>
              <w:t>1</w:t>
            </w:r>
          </w:p>
        </w:tc>
        <w:tc>
          <w:tcPr>
            <w:tcW w:w="1615" w:type="dxa"/>
            <w:shd w:val="clear" w:color="auto" w:fill="auto"/>
            <w:tcMar>
              <w:top w:w="0" w:type="dxa"/>
              <w:left w:w="70" w:type="dxa"/>
              <w:bottom w:w="0" w:type="dxa"/>
              <w:right w:w="70" w:type="dxa"/>
            </w:tcMar>
            <w:vAlign w:val="center"/>
          </w:tcPr>
          <w:p>
            <w:pPr>
              <w:jc w:val="both"/>
              <w:rPr>
                <w:rFonts w:ascii="Open Sans" w:hAnsi="Open Sans" w:cs="Open Sans"/>
                <w:color w:val="000000"/>
                <w:sz w:val="16"/>
                <w:szCs w:val="16"/>
              </w:rPr>
            </w:pPr>
            <w:r>
              <w:rPr>
                <w:rFonts w:ascii="Open Sans" w:hAnsi="Open Sans" w:cs="Open Sans"/>
                <w:color w:val="000000"/>
                <w:sz w:val="16"/>
                <w:szCs w:val="16"/>
              </w:rPr>
              <w:t xml:space="preserve">Água mineral, não gasosa, </w:t>
            </w:r>
            <w:r>
              <w:rPr>
                <w:rFonts w:ascii="Open Sans" w:hAnsi="Open Sans" w:cs="Open Sans"/>
                <w:b/>
                <w:color w:val="000000"/>
                <w:sz w:val="16"/>
                <w:szCs w:val="16"/>
              </w:rPr>
              <w:t>SEM</w:t>
            </w:r>
            <w:r>
              <w:rPr>
                <w:rFonts w:ascii="Open Sans" w:hAnsi="Open Sans" w:cs="Open Sans"/>
                <w:color w:val="000000"/>
                <w:sz w:val="16"/>
                <w:szCs w:val="16"/>
              </w:rPr>
              <w:t xml:space="preserve"> vasilhame, oriunda de fonte hipotermal, que apresente laudo de análise do órgão competente (DNPM). Em vasilhame com 20 litros, lacrado.</w:t>
            </w:r>
          </w:p>
        </w:tc>
        <w:tc>
          <w:tcPr>
            <w:tcW w:w="1107"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GARRAFÃO</w:t>
            </w:r>
          </w:p>
        </w:tc>
        <w:tc>
          <w:tcPr>
            <w:tcW w:w="1478" w:type="dxa"/>
            <w:vAlign w:val="center"/>
          </w:tcPr>
          <w:p>
            <w:pPr>
              <w:jc w:val="center"/>
              <w:rPr>
                <w:rFonts w:ascii="Open Sans" w:hAnsi="Open Sans" w:cs="Open Sans"/>
                <w:bCs/>
                <w:color w:val="000000"/>
                <w:sz w:val="16"/>
                <w:szCs w:val="16"/>
              </w:rPr>
            </w:pPr>
            <w:r>
              <w:rPr>
                <w:rFonts w:ascii="Open Sans" w:hAnsi="Open Sans" w:cs="Open Sans"/>
                <w:bCs/>
                <w:color w:val="000000"/>
                <w:sz w:val="16"/>
                <w:szCs w:val="16"/>
              </w:rPr>
              <w:t>1000</w:t>
            </w:r>
          </w:p>
        </w:tc>
        <w:tc>
          <w:tcPr>
            <w:tcW w:w="1832"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6,66</w:t>
            </w:r>
          </w:p>
        </w:tc>
        <w:tc>
          <w:tcPr>
            <w:tcW w:w="1576"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6.</w:t>
            </w:r>
            <w:r>
              <w:rPr>
                <w:rFonts w:ascii="Open Sans" w:hAnsi="Open Sans" w:cs="Open Sans"/>
                <w:bCs/>
                <w:color w:val="000000"/>
                <w:sz w:val="16"/>
                <w:szCs w:val="16"/>
                <w:lang w:val="pt-BR"/>
              </w:rPr>
              <w:t>5</w:t>
            </w:r>
            <w:r>
              <w:rPr>
                <w:rFonts w:ascii="Open Sans" w:hAnsi="Open Sans" w:cs="Open Sans"/>
                <w:bCs/>
                <w:color w:val="000000"/>
                <w:sz w:val="16"/>
                <w:szCs w:val="16"/>
              </w:rPr>
              <w:t>6</w:t>
            </w:r>
            <w:r>
              <w:rPr>
                <w:rFonts w:ascii="Open Sans" w:hAnsi="Open Sans" w:cs="Open Sans"/>
                <w:bCs/>
                <w:color w:val="000000"/>
                <w:sz w:val="16"/>
                <w:szCs w:val="16"/>
                <w:lang w:val="pt-BR"/>
              </w:rPr>
              <w:t>6</w:t>
            </w:r>
            <w:r>
              <w:rPr>
                <w:rFonts w:ascii="Open Sans" w:hAnsi="Open Sans" w:cs="Open Sans"/>
                <w:bCs/>
                <w:color w:val="000000"/>
                <w:sz w:val="16"/>
                <w:szCs w:val="16"/>
              </w:rPr>
              <w:t>,</w:t>
            </w:r>
            <w:r>
              <w:rPr>
                <w:rFonts w:ascii="Open Sans" w:hAnsi="Open Sans" w:cs="Open Sans"/>
                <w:bCs/>
                <w:color w:val="000000"/>
                <w:sz w:val="16"/>
                <w:szCs w:val="16"/>
                <w:lang w:val="pt-BR"/>
              </w:rPr>
              <w:t>67</w:t>
            </w:r>
          </w:p>
        </w:tc>
        <w:tc>
          <w:tcPr>
            <w:tcW w:w="1015"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304155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jc w:val="center"/>
        </w:trPr>
        <w:tc>
          <w:tcPr>
            <w:tcW w:w="648" w:type="dxa"/>
            <w:shd w:val="clear" w:color="auto" w:fill="auto"/>
            <w:tcMar>
              <w:top w:w="0" w:type="dxa"/>
              <w:left w:w="70" w:type="dxa"/>
              <w:bottom w:w="0" w:type="dxa"/>
              <w:right w:w="70" w:type="dxa"/>
            </w:tcMar>
            <w:vAlign w:val="center"/>
          </w:tcPr>
          <w:p>
            <w:pPr>
              <w:jc w:val="center"/>
              <w:rPr>
                <w:rFonts w:ascii="Open Sans" w:hAnsi="Open Sans" w:cs="Open Sans"/>
                <w:b/>
                <w:bCs/>
                <w:color w:val="000000"/>
                <w:sz w:val="16"/>
                <w:szCs w:val="16"/>
              </w:rPr>
            </w:pPr>
            <w:r>
              <w:rPr>
                <w:rFonts w:ascii="Open Sans" w:hAnsi="Open Sans" w:cs="Open Sans"/>
                <w:b/>
                <w:bCs/>
                <w:color w:val="000000"/>
                <w:sz w:val="16"/>
                <w:szCs w:val="16"/>
              </w:rPr>
              <w:t>2</w:t>
            </w:r>
          </w:p>
        </w:tc>
        <w:tc>
          <w:tcPr>
            <w:tcW w:w="1615" w:type="dxa"/>
            <w:shd w:val="clear" w:color="auto" w:fill="auto"/>
            <w:tcMar>
              <w:top w:w="0" w:type="dxa"/>
              <w:left w:w="70" w:type="dxa"/>
              <w:bottom w:w="0" w:type="dxa"/>
              <w:right w:w="70" w:type="dxa"/>
            </w:tcMar>
            <w:vAlign w:val="center"/>
          </w:tcPr>
          <w:p>
            <w:pPr>
              <w:jc w:val="both"/>
              <w:rPr>
                <w:rFonts w:ascii="Open Sans" w:hAnsi="Open Sans" w:cs="Open Sans"/>
                <w:color w:val="000000"/>
                <w:sz w:val="16"/>
                <w:szCs w:val="16"/>
              </w:rPr>
            </w:pPr>
            <w:r>
              <w:rPr>
                <w:rFonts w:ascii="Open Sans" w:hAnsi="Open Sans" w:cs="Open Sans"/>
                <w:color w:val="000000"/>
                <w:sz w:val="16"/>
                <w:szCs w:val="16"/>
              </w:rPr>
              <w:t xml:space="preserve">Água mineral, não gasosa, </w:t>
            </w:r>
            <w:r>
              <w:rPr>
                <w:rFonts w:ascii="Open Sans" w:hAnsi="Open Sans" w:cs="Open Sans"/>
                <w:b/>
                <w:color w:val="000000"/>
                <w:sz w:val="16"/>
                <w:szCs w:val="16"/>
              </w:rPr>
              <w:t>COM</w:t>
            </w:r>
            <w:r>
              <w:rPr>
                <w:rFonts w:ascii="Open Sans" w:hAnsi="Open Sans" w:cs="Open Sans"/>
                <w:color w:val="000000"/>
                <w:sz w:val="16"/>
                <w:szCs w:val="16"/>
              </w:rPr>
              <w:t xml:space="preserve"> vasilhame, oriunda de fonte hipotermal, que apresente laudo de análise do órgão competente (DNPM). Em vasilhame com 20 litros, lacrado.</w:t>
            </w:r>
          </w:p>
        </w:tc>
        <w:tc>
          <w:tcPr>
            <w:tcW w:w="1107"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GARRAFÃO</w:t>
            </w:r>
          </w:p>
        </w:tc>
        <w:tc>
          <w:tcPr>
            <w:tcW w:w="1478" w:type="dxa"/>
            <w:vAlign w:val="center"/>
          </w:tcPr>
          <w:p>
            <w:pPr>
              <w:jc w:val="center"/>
              <w:rPr>
                <w:rFonts w:ascii="Open Sans" w:hAnsi="Open Sans" w:cs="Open Sans"/>
                <w:bCs/>
                <w:color w:val="000000"/>
                <w:sz w:val="16"/>
                <w:szCs w:val="16"/>
              </w:rPr>
            </w:pPr>
            <w:r>
              <w:rPr>
                <w:rFonts w:ascii="Open Sans" w:hAnsi="Open Sans" w:cs="Open Sans"/>
                <w:bCs/>
                <w:color w:val="000000"/>
                <w:sz w:val="16"/>
                <w:szCs w:val="16"/>
              </w:rPr>
              <w:t>30</w:t>
            </w:r>
          </w:p>
        </w:tc>
        <w:tc>
          <w:tcPr>
            <w:tcW w:w="1832"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12,00</w:t>
            </w:r>
          </w:p>
        </w:tc>
        <w:tc>
          <w:tcPr>
            <w:tcW w:w="1576"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360,00</w:t>
            </w:r>
          </w:p>
        </w:tc>
        <w:tc>
          <w:tcPr>
            <w:tcW w:w="1015" w:type="dxa"/>
            <w:shd w:val="clear" w:color="auto" w:fill="auto"/>
            <w:tcMar>
              <w:top w:w="0" w:type="dxa"/>
              <w:left w:w="70" w:type="dxa"/>
              <w:bottom w:w="0" w:type="dxa"/>
              <w:right w:w="70" w:type="dxa"/>
            </w:tcMar>
            <w:vAlign w:val="center"/>
          </w:tcPr>
          <w:p>
            <w:pPr>
              <w:jc w:val="center"/>
              <w:rPr>
                <w:rFonts w:ascii="Open Sans" w:hAnsi="Open Sans" w:cs="Open Sans"/>
                <w:bCs/>
                <w:color w:val="000000"/>
                <w:sz w:val="16"/>
                <w:szCs w:val="16"/>
              </w:rPr>
            </w:pPr>
            <w:r>
              <w:rPr>
                <w:rFonts w:ascii="Open Sans" w:hAnsi="Open Sans" w:cs="Open Sans"/>
                <w:bCs/>
                <w:color w:val="000000"/>
                <w:sz w:val="16"/>
                <w:szCs w:val="16"/>
              </w:rPr>
              <w:t>402921</w:t>
            </w:r>
          </w:p>
        </w:tc>
      </w:tr>
    </w:tbl>
    <w:p>
      <w:pPr>
        <w:pStyle w:val="32"/>
        <w:shd w:val="clear" w:color="auto" w:fill="D8D8D8" w:themeFill="background1" w:themeFillShade="D9"/>
        <w:rPr>
          <w:rFonts w:ascii="Open Sans" w:hAnsi="Open Sans" w:cs="Open Sans"/>
        </w:rPr>
      </w:pPr>
      <w:r>
        <w:rPr>
          <w:rFonts w:ascii="Open Sans" w:hAnsi="Open Sans" w:cs="Open Sans"/>
        </w:rPr>
        <w:t>JUSTIFICATIVA E OBJETIVO DA CONTRATAÇÃO</w:t>
      </w:r>
    </w:p>
    <w:p>
      <w:pPr>
        <w:numPr>
          <w:ilvl w:val="1"/>
          <w:numId w:val="2"/>
        </w:numPr>
        <w:spacing w:before="120" w:after="120" w:line="276" w:lineRule="auto"/>
        <w:ind w:left="425" w:firstLine="0"/>
        <w:jc w:val="both"/>
        <w:rPr>
          <w:rFonts w:ascii="Open Sans" w:hAnsi="Open Sans" w:cs="Open Sans"/>
          <w:color w:val="000000"/>
          <w:szCs w:val="20"/>
        </w:rPr>
      </w:pPr>
      <w:r>
        <w:rPr>
          <w:rFonts w:ascii="Open Sans" w:hAnsi="Open Sans" w:cs="Open Sans"/>
          <w:bCs/>
          <w:iCs/>
          <w:szCs w:val="20"/>
        </w:rPr>
        <w:t xml:space="preserve">Esta aquisição de água mineral visa atender à demanda do Instituto Federal de Sergipe – </w:t>
      </w:r>
      <w:r>
        <w:rPr>
          <w:rFonts w:ascii="Open Sans" w:hAnsi="Open Sans" w:cs="Open Sans"/>
          <w:bCs/>
          <w:i/>
          <w:iCs/>
          <w:szCs w:val="20"/>
        </w:rPr>
        <w:t xml:space="preserve">Campus </w:t>
      </w:r>
      <w:r>
        <w:rPr>
          <w:rFonts w:ascii="Open Sans" w:hAnsi="Open Sans" w:cs="Open Sans"/>
          <w:bCs/>
          <w:iCs/>
          <w:szCs w:val="20"/>
        </w:rPr>
        <w:t>Itabaiana, durante a execução das atividades institucionais, tanto em sua sede provisória como a sua definitiva</w:t>
      </w:r>
      <w:r>
        <w:rPr>
          <w:rFonts w:ascii="Open Sans" w:hAnsi="Open Sans" w:cs="Open Sans"/>
          <w:color w:val="000000"/>
          <w:szCs w:val="20"/>
        </w:rPr>
        <w:t>.</w:t>
      </w:r>
    </w:p>
    <w:p>
      <w:pPr>
        <w:numPr>
          <w:ilvl w:val="1"/>
          <w:numId w:val="2"/>
        </w:numPr>
        <w:spacing w:before="120" w:after="120" w:line="276" w:lineRule="auto"/>
        <w:ind w:left="425" w:firstLine="0"/>
        <w:jc w:val="both"/>
        <w:rPr>
          <w:rFonts w:ascii="Open Sans" w:hAnsi="Open Sans" w:cs="Open Sans"/>
          <w:color w:val="000000"/>
          <w:szCs w:val="20"/>
        </w:rPr>
      </w:pPr>
      <w:r>
        <w:rPr>
          <w:rFonts w:ascii="Open Sans" w:hAnsi="Open Sans" w:cs="Open Sans"/>
          <w:color w:val="000000"/>
          <w:szCs w:val="20"/>
        </w:rPr>
        <w:t xml:space="preserve">Os quantitativos definidos foram calculados com base no consumo dos últimos 12 (doze) meses e levando-se em conta a necessidade de substituição dos bens atualmente disponíveis e do estoque de segurança, além da ampliação da demanda com a possível mudança para a sede definitiva. </w:t>
      </w:r>
    </w:p>
    <w:p>
      <w:pPr>
        <w:numPr>
          <w:ilvl w:val="1"/>
          <w:numId w:val="2"/>
        </w:numPr>
        <w:spacing w:before="120" w:after="120" w:line="276" w:lineRule="auto"/>
        <w:ind w:left="425" w:firstLine="0"/>
        <w:jc w:val="both"/>
        <w:rPr>
          <w:rFonts w:ascii="Open Sans" w:hAnsi="Open Sans" w:cs="Open Sans"/>
          <w:color w:val="000000"/>
          <w:szCs w:val="20"/>
        </w:rPr>
      </w:pPr>
      <w:bookmarkStart w:id="0" w:name="_GoBack"/>
      <w:bookmarkEnd w:id="0"/>
      <w:r>
        <w:rPr>
          <w:rFonts w:ascii="Open Sans" w:hAnsi="Open Sans" w:cs="Open Sans"/>
          <w:bCs/>
          <w:iCs/>
          <w:szCs w:val="20"/>
        </w:rPr>
        <w:t xml:space="preserve">A aquisição é de fundamental importância e urgência, tendo em vista, já haver ocorrido 2 (duas) licitações fracassadas, através dos pregões 08/2017 e 11/2017, ambos operacionalizados pela Reitoria, do qual fomos participantes.  </w:t>
      </w:r>
    </w:p>
    <w:p>
      <w:pPr>
        <w:pStyle w:val="32"/>
        <w:shd w:val="clear" w:color="auto" w:fill="D8D8D8" w:themeFill="background1" w:themeFillShade="D9"/>
        <w:rPr>
          <w:rFonts w:ascii="Open Sans" w:hAnsi="Open Sans" w:cs="Open Sans"/>
        </w:rPr>
      </w:pPr>
      <w:r>
        <w:rPr>
          <w:rFonts w:ascii="Open Sans" w:hAnsi="Open Sans" w:cs="Open Sans"/>
        </w:rPr>
        <w:t>CLASSIFICAÇÃO DOS BENS COMUNS</w:t>
      </w:r>
    </w:p>
    <w:p>
      <w:pPr>
        <w:numPr>
          <w:ilvl w:val="1"/>
          <w:numId w:val="2"/>
        </w:numPr>
        <w:spacing w:before="120" w:after="120" w:line="276" w:lineRule="auto"/>
        <w:ind w:left="425" w:firstLine="0"/>
        <w:jc w:val="both"/>
        <w:rPr>
          <w:rFonts w:ascii="Open Sans" w:hAnsi="Open Sans" w:cs="Open Sans"/>
          <w:szCs w:val="20"/>
        </w:rPr>
      </w:pPr>
      <w:r>
        <w:rPr>
          <w:rFonts w:ascii="Open Sans" w:hAnsi="Open Sans" w:cs="Open Sans"/>
          <w:szCs w:val="20"/>
        </w:rPr>
        <w:t>A natureza do objeto a ser contratado é a aquisição de bens de pequeno valor, por dispensa de licitação, com fundamento no Inciso II do Art. 24 da Lei nº 8.666, de 21 junho de 1993 e regulamentado pela Portaria MP nº 306, de 13/12/2001.</w:t>
      </w:r>
    </w:p>
    <w:p>
      <w:pPr>
        <w:pStyle w:val="32"/>
        <w:shd w:val="clear" w:color="auto" w:fill="D8D8D8" w:themeFill="background1" w:themeFillShade="D9"/>
        <w:rPr>
          <w:rFonts w:ascii="Open Sans" w:hAnsi="Open Sans" w:cs="Open Sans"/>
        </w:rPr>
      </w:pPr>
      <w:r>
        <w:rPr>
          <w:rFonts w:ascii="Open Sans" w:hAnsi="Open Sans" w:cs="Open Sans"/>
        </w:rPr>
        <w:t>ENTREGA E CRITÉRIOS DE ACEITAÇÃO DO OBJETO</w:t>
      </w:r>
    </w:p>
    <w:p>
      <w:pPr>
        <w:numPr>
          <w:ilvl w:val="1"/>
          <w:numId w:val="2"/>
        </w:numPr>
        <w:spacing w:before="120" w:after="120" w:line="276" w:lineRule="auto"/>
        <w:ind w:left="425" w:firstLine="0"/>
        <w:jc w:val="both"/>
        <w:rPr>
          <w:rFonts w:ascii="Open Sans" w:hAnsi="Open Sans" w:cs="Open Sans"/>
          <w:b/>
          <w:bCs/>
          <w:color w:val="000000"/>
          <w:szCs w:val="20"/>
        </w:rPr>
      </w:pPr>
      <w:r>
        <w:rPr>
          <w:rFonts w:ascii="Open Sans" w:hAnsi="Open Sans" w:cs="Open Sans"/>
          <w:iCs/>
          <w:color w:val="000000"/>
          <w:szCs w:val="20"/>
        </w:rPr>
        <w:t>O prazo de entrega dos bens é de 05 (cinco)</w:t>
      </w:r>
      <w:r>
        <w:rPr>
          <w:rFonts w:ascii="Open Sans" w:hAnsi="Open Sans" w:cs="Open Sans"/>
          <w:iCs/>
          <w:color w:val="FF0000"/>
          <w:szCs w:val="20"/>
        </w:rPr>
        <w:t xml:space="preserve"> </w:t>
      </w:r>
      <w:r>
        <w:rPr>
          <w:rFonts w:ascii="Open Sans" w:hAnsi="Open Sans" w:cs="Open Sans"/>
          <w:iCs/>
          <w:color w:val="000000"/>
          <w:szCs w:val="20"/>
        </w:rPr>
        <w:t xml:space="preserve">dias, contados da solicitação do responsável, em </w:t>
      </w:r>
      <w:r>
        <w:rPr>
          <w:rFonts w:ascii="Open Sans" w:hAnsi="Open Sans" w:cs="Open Sans"/>
          <w:iCs/>
          <w:szCs w:val="20"/>
        </w:rPr>
        <w:t>remessa parcelada</w:t>
      </w:r>
      <w:r>
        <w:rPr>
          <w:rFonts w:ascii="Open Sans" w:hAnsi="Open Sans" w:cs="Open Sans"/>
          <w:iCs/>
          <w:color w:val="000000"/>
          <w:szCs w:val="20"/>
        </w:rPr>
        <w:t xml:space="preserve">, no seguinte endereço: </w:t>
      </w:r>
    </w:p>
    <w:p>
      <w:pPr>
        <w:numPr>
          <w:ilvl w:val="2"/>
          <w:numId w:val="2"/>
        </w:numPr>
        <w:spacing w:before="120" w:after="120" w:line="276" w:lineRule="auto"/>
        <w:jc w:val="both"/>
        <w:rPr>
          <w:rFonts w:ascii="Open Sans" w:hAnsi="Open Sans" w:cs="Open Sans"/>
          <w:b/>
          <w:szCs w:val="18"/>
          <w:u w:val="single"/>
        </w:rPr>
      </w:pPr>
      <w:r>
        <w:rPr>
          <w:rFonts w:ascii="Open Sans" w:hAnsi="Open Sans" w:cs="Open Sans"/>
          <w:b/>
          <w:szCs w:val="18"/>
          <w:u w:val="single"/>
        </w:rPr>
        <w:t xml:space="preserve">Instituto Federal de Sergipe – </w:t>
      </w:r>
      <w:r>
        <w:rPr>
          <w:rFonts w:ascii="Open Sans" w:hAnsi="Open Sans" w:cs="Open Sans"/>
          <w:b/>
          <w:i/>
          <w:szCs w:val="18"/>
          <w:u w:val="single"/>
        </w:rPr>
        <w:t>Campus</w:t>
      </w:r>
      <w:r>
        <w:rPr>
          <w:rFonts w:ascii="Open Sans" w:hAnsi="Open Sans" w:cs="Open Sans"/>
          <w:b/>
          <w:szCs w:val="18"/>
          <w:u w:val="single"/>
        </w:rPr>
        <w:t xml:space="preserve"> Itabaiana (sede provisória):  Travessa Dr. Augusto César Leite, 165, Bairro Centro, Itabaiana/SE, CEP 49.500-000.</w:t>
      </w:r>
    </w:p>
    <w:p>
      <w:pPr>
        <w:numPr>
          <w:ilvl w:val="2"/>
          <w:numId w:val="2"/>
        </w:numPr>
        <w:spacing w:before="120" w:after="120" w:line="276" w:lineRule="auto"/>
        <w:jc w:val="both"/>
        <w:rPr>
          <w:rFonts w:ascii="Open Sans" w:hAnsi="Open Sans" w:cs="Open Sans"/>
          <w:b/>
          <w:szCs w:val="18"/>
          <w:u w:val="single"/>
        </w:rPr>
      </w:pPr>
      <w:r>
        <w:rPr>
          <w:rFonts w:ascii="Open Sans" w:hAnsi="Open Sans" w:cs="Open Sans"/>
          <w:b/>
          <w:szCs w:val="18"/>
          <w:u w:val="single"/>
        </w:rPr>
        <w:t xml:space="preserve">Instituto Federal de Sergipe – </w:t>
      </w:r>
      <w:r>
        <w:rPr>
          <w:rFonts w:ascii="Open Sans" w:hAnsi="Open Sans" w:cs="Open Sans"/>
          <w:b/>
          <w:i/>
          <w:szCs w:val="18"/>
          <w:u w:val="single"/>
        </w:rPr>
        <w:t>Campus</w:t>
      </w:r>
      <w:r>
        <w:rPr>
          <w:rFonts w:ascii="Open Sans" w:hAnsi="Open Sans" w:cs="Open Sans"/>
          <w:b/>
          <w:szCs w:val="18"/>
          <w:u w:val="single"/>
        </w:rPr>
        <w:t xml:space="preserve"> Itabaiana (sede definitiva):  Rua Padre Ayrton Gonçalves, s/nº, Bairro São Cristóvão, Itabaiana/SE, CEP 49.500-000.</w:t>
      </w:r>
    </w:p>
    <w:p>
      <w:pPr>
        <w:numPr>
          <w:ilvl w:val="1"/>
          <w:numId w:val="2"/>
        </w:numPr>
        <w:spacing w:before="120" w:after="120" w:line="276" w:lineRule="auto"/>
        <w:ind w:left="425" w:firstLine="0"/>
        <w:jc w:val="both"/>
        <w:rPr>
          <w:rFonts w:ascii="Open Sans" w:hAnsi="Open Sans" w:cs="Open Sans"/>
          <w:bCs/>
          <w:color w:val="000000"/>
          <w:szCs w:val="20"/>
        </w:rPr>
      </w:pPr>
      <w:r>
        <w:rPr>
          <w:rFonts w:ascii="Open Sans" w:hAnsi="Open Sans" w:cs="Open Sans"/>
          <w:bCs/>
          <w:color w:val="000000"/>
          <w:szCs w:val="20"/>
        </w:rPr>
        <w:t xml:space="preserve">No caso de produtos perecíveis, o prazo de validade na data da entrega não poderá ser inferior a </w:t>
      </w:r>
      <w:r>
        <w:rPr>
          <w:rFonts w:ascii="Open Sans" w:hAnsi="Open Sans" w:cs="Open Sans"/>
          <w:bCs/>
          <w:szCs w:val="20"/>
        </w:rPr>
        <w:t xml:space="preserve">30 (trinta) </w:t>
      </w:r>
      <w:r>
        <w:rPr>
          <w:rFonts w:ascii="Open Sans" w:hAnsi="Open Sans" w:cs="Open Sans"/>
          <w:bCs/>
          <w:color w:val="000000"/>
          <w:szCs w:val="20"/>
        </w:rPr>
        <w:t>dias do prazo total recomendado pelo fabricante.</w:t>
      </w:r>
    </w:p>
    <w:p>
      <w:pPr>
        <w:numPr>
          <w:ilvl w:val="1"/>
          <w:numId w:val="2"/>
        </w:numPr>
        <w:spacing w:before="120" w:after="120" w:line="276" w:lineRule="auto"/>
        <w:ind w:left="425" w:firstLine="0"/>
        <w:jc w:val="both"/>
        <w:rPr>
          <w:rFonts w:ascii="Open Sans" w:hAnsi="Open Sans" w:cs="Open Sans"/>
          <w:b/>
          <w:bCs/>
          <w:color w:val="000000"/>
          <w:szCs w:val="20"/>
        </w:rPr>
      </w:pPr>
      <w:r>
        <w:rPr>
          <w:rFonts w:ascii="Open Sans" w:hAnsi="Open Sans" w:cs="Open Sans"/>
          <w:color w:val="000000"/>
          <w:szCs w:val="20"/>
        </w:rPr>
        <w:t xml:space="preserve">Os bens serão recebidos provisoriamente no prazo de </w:t>
      </w:r>
      <w:r>
        <w:rPr>
          <w:rFonts w:ascii="Open Sans" w:hAnsi="Open Sans" w:cs="Open Sans"/>
          <w:szCs w:val="20"/>
        </w:rPr>
        <w:t xml:space="preserve">2 (dois) </w:t>
      </w:r>
      <w:r>
        <w:rPr>
          <w:rFonts w:ascii="Open Sans" w:hAnsi="Open Sans" w:cs="Open Sans"/>
          <w:color w:val="000000"/>
          <w:szCs w:val="20"/>
        </w:rPr>
        <w:t xml:space="preserve">dias úteis, pelo (a) </w:t>
      </w:r>
      <w:r>
        <w:rPr>
          <w:rFonts w:ascii="Open Sans" w:hAnsi="Open Sans" w:cs="Open Sans"/>
          <w:iCs/>
          <w:color w:val="000000"/>
          <w:szCs w:val="20"/>
        </w:rPr>
        <w:t>responsável</w:t>
      </w:r>
      <w:r>
        <w:rPr>
          <w:rFonts w:ascii="Open Sans" w:hAnsi="Open Sans" w:cs="Open Sans"/>
          <w:color w:val="000000"/>
          <w:szCs w:val="20"/>
        </w:rPr>
        <w:t xml:space="preserve"> pelo almoxarifado ou seu substituto, para efeito de posterior verificação de sua conformidade com as especificações constantes neste Termo de Referência. </w:t>
      </w:r>
    </w:p>
    <w:p>
      <w:pPr>
        <w:numPr>
          <w:ilvl w:val="1"/>
          <w:numId w:val="2"/>
        </w:numPr>
        <w:spacing w:before="120" w:after="120" w:line="276" w:lineRule="auto"/>
        <w:ind w:left="425" w:firstLine="0"/>
        <w:jc w:val="both"/>
        <w:rPr>
          <w:rFonts w:ascii="Open Sans" w:hAnsi="Open Sans" w:cs="Open Sans"/>
          <w:bCs/>
          <w:color w:val="000000"/>
          <w:szCs w:val="20"/>
        </w:rPr>
      </w:pPr>
      <w:r>
        <w:rPr>
          <w:rFonts w:ascii="Open Sans" w:hAnsi="Open Sans" w:cs="Open Sans"/>
          <w:bCs/>
          <w:color w:val="000000"/>
          <w:szCs w:val="20"/>
        </w:rPr>
        <w:t xml:space="preserve">Os bens poderão ser rejeitados, no todo ou em parte, quando em desacordo com as especificações constantes neste Termo de Referência, devendo ser substituídos no prazo de </w:t>
      </w:r>
      <w:r>
        <w:rPr>
          <w:rFonts w:ascii="Open Sans" w:hAnsi="Open Sans" w:cs="Open Sans"/>
          <w:bCs/>
          <w:szCs w:val="20"/>
        </w:rPr>
        <w:t xml:space="preserve">2 (dois) </w:t>
      </w:r>
      <w:r>
        <w:rPr>
          <w:rFonts w:ascii="Open Sans" w:hAnsi="Open Sans" w:cs="Open Sans"/>
          <w:bCs/>
          <w:color w:val="000000"/>
          <w:szCs w:val="20"/>
        </w:rPr>
        <w:t>dias, a contar da notificação da contratada, às suas custas, sem prejuízo da aplicação das penalidades.</w:t>
      </w:r>
    </w:p>
    <w:p>
      <w:pPr>
        <w:numPr>
          <w:ilvl w:val="1"/>
          <w:numId w:val="2"/>
        </w:numPr>
        <w:spacing w:before="120" w:after="120" w:line="276" w:lineRule="auto"/>
        <w:ind w:left="425" w:firstLine="0"/>
        <w:jc w:val="both"/>
        <w:rPr>
          <w:rFonts w:ascii="Open Sans" w:hAnsi="Open Sans" w:cs="Open Sans"/>
          <w:bCs/>
          <w:color w:val="000000"/>
          <w:szCs w:val="20"/>
        </w:rPr>
      </w:pPr>
      <w:r>
        <w:rPr>
          <w:rFonts w:ascii="Open Sans" w:hAnsi="Open Sans" w:cs="Open Sans"/>
          <w:color w:val="000000"/>
          <w:szCs w:val="20"/>
        </w:rPr>
        <w:t xml:space="preserve">Os bens serão recebidos definitivamente no prazo de 5 </w:t>
      </w:r>
      <w:r>
        <w:rPr>
          <w:rFonts w:ascii="Open Sans" w:hAnsi="Open Sans" w:cs="Open Sans"/>
          <w:szCs w:val="20"/>
        </w:rPr>
        <w:t xml:space="preserve">(cinco) </w:t>
      </w:r>
      <w:r>
        <w:rPr>
          <w:rFonts w:ascii="Open Sans" w:hAnsi="Open Sans" w:cs="Open Sans"/>
          <w:color w:val="000000"/>
          <w:szCs w:val="20"/>
        </w:rPr>
        <w:t>dias, contados do recebimento provisório, após a verificação da qualidade e quantidade do material e consequente aceitação mediante termo circunstanciado.</w:t>
      </w:r>
    </w:p>
    <w:p>
      <w:pPr>
        <w:numPr>
          <w:ilvl w:val="2"/>
          <w:numId w:val="2"/>
        </w:numPr>
        <w:spacing w:before="120" w:after="120" w:line="276" w:lineRule="auto"/>
        <w:ind w:left="1134" w:firstLine="0"/>
        <w:jc w:val="both"/>
        <w:rPr>
          <w:rFonts w:ascii="Open Sans" w:hAnsi="Open Sans" w:cs="Open Sans"/>
          <w:b/>
          <w:bCs/>
          <w:color w:val="000000"/>
          <w:szCs w:val="20"/>
        </w:rPr>
      </w:pPr>
      <w:r>
        <w:rPr>
          <w:rFonts w:ascii="Open Sans" w:hAnsi="Open Sans" w:cs="Open Sans"/>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numPr>
          <w:ilvl w:val="1"/>
          <w:numId w:val="2"/>
        </w:numPr>
        <w:spacing w:before="120" w:after="120" w:line="276" w:lineRule="auto"/>
        <w:ind w:left="425" w:firstLine="0"/>
        <w:jc w:val="both"/>
        <w:rPr>
          <w:rFonts w:ascii="Open Sans" w:hAnsi="Open Sans" w:cs="Open Sans"/>
          <w:color w:val="000000"/>
          <w:szCs w:val="20"/>
        </w:rPr>
      </w:pPr>
      <w:r>
        <w:rPr>
          <w:rFonts w:ascii="Open Sans" w:hAnsi="Open Sans" w:cs="Open Sans"/>
          <w:color w:val="000000"/>
          <w:szCs w:val="20"/>
          <w:lang w:eastAsia="en-US"/>
        </w:rPr>
        <w:t>O recebimento provisório ou definitivo do objeto não exclui a responsabilidade da contratada pelos prejuízos resultantes da incorreta execução do contrato.</w:t>
      </w:r>
    </w:p>
    <w:p>
      <w:pPr>
        <w:pStyle w:val="32"/>
        <w:shd w:val="clear" w:color="auto" w:fill="D8D8D8" w:themeFill="background1" w:themeFillShade="D9"/>
        <w:rPr>
          <w:rFonts w:ascii="Open Sans" w:hAnsi="Open Sans" w:cs="Open Sans"/>
        </w:rPr>
      </w:pPr>
      <w:r>
        <w:rPr>
          <w:rFonts w:ascii="Open Sans" w:hAnsi="Open Sans" w:cs="Open Sans"/>
          <w:lang w:eastAsia="en-US"/>
        </w:rPr>
        <w:t>OBRIGAÇÕES DA CONTRATANTE</w:t>
      </w:r>
    </w:p>
    <w:p>
      <w:pPr>
        <w:numPr>
          <w:ilvl w:val="1"/>
          <w:numId w:val="2"/>
        </w:numPr>
        <w:spacing w:before="120" w:after="120" w:line="276" w:lineRule="auto"/>
        <w:ind w:left="425" w:firstLine="0"/>
        <w:jc w:val="both"/>
        <w:rPr>
          <w:rFonts w:ascii="Open Sans" w:hAnsi="Open Sans" w:cs="Open Sans"/>
          <w:b/>
          <w:color w:val="000000"/>
          <w:szCs w:val="20"/>
        </w:rPr>
      </w:pPr>
      <w:r>
        <w:rPr>
          <w:rFonts w:ascii="Open Sans" w:hAnsi="Open Sans" w:cs="Open Sans"/>
          <w:szCs w:val="20"/>
        </w:rPr>
        <w:t>São obrigações da Contratante:</w:t>
      </w:r>
    </w:p>
    <w:p>
      <w:pPr>
        <w:numPr>
          <w:ilvl w:val="2"/>
          <w:numId w:val="2"/>
        </w:numPr>
        <w:spacing w:before="120" w:after="120" w:line="276" w:lineRule="auto"/>
        <w:ind w:left="1134" w:firstLine="0"/>
        <w:jc w:val="both"/>
        <w:rPr>
          <w:rFonts w:ascii="Open Sans" w:hAnsi="Open Sans" w:cs="Open Sans"/>
          <w:b/>
          <w:color w:val="000000"/>
          <w:szCs w:val="20"/>
        </w:rPr>
      </w:pPr>
      <w:r>
        <w:rPr>
          <w:rFonts w:ascii="Open Sans" w:hAnsi="Open Sans" w:cs="Open Sans"/>
          <w:szCs w:val="20"/>
        </w:rPr>
        <w:t>receber o objeto no prazo e condições estabelecidas neste Termo de Referência e seus anexos;</w:t>
      </w:r>
    </w:p>
    <w:p>
      <w:pPr>
        <w:numPr>
          <w:ilvl w:val="2"/>
          <w:numId w:val="2"/>
        </w:numPr>
        <w:spacing w:before="120" w:after="120" w:line="276" w:lineRule="auto"/>
        <w:ind w:left="1134" w:firstLine="0"/>
        <w:jc w:val="both"/>
        <w:rPr>
          <w:rFonts w:ascii="Open Sans" w:hAnsi="Open Sans" w:cs="Open Sans"/>
          <w:b/>
          <w:color w:val="000000"/>
          <w:szCs w:val="20"/>
        </w:rPr>
      </w:pPr>
      <w:r>
        <w:rPr>
          <w:rFonts w:ascii="Open Sans" w:hAnsi="Open Sans" w:cs="Open Sans"/>
          <w:szCs w:val="20"/>
          <w:lang w:eastAsia="en-US"/>
        </w:rPr>
        <w:t xml:space="preserve">verificar minuciosamente, no prazo fixado, a conformidade dos bens recebidos provisoriamente com as especificações constantes </w:t>
      </w:r>
      <w:r>
        <w:rPr>
          <w:rFonts w:ascii="Open Sans" w:hAnsi="Open Sans" w:cs="Open Sans"/>
          <w:szCs w:val="20"/>
        </w:rPr>
        <w:t>neste Termo de Referência</w:t>
      </w:r>
      <w:r>
        <w:rPr>
          <w:rFonts w:ascii="Open Sans" w:hAnsi="Open Sans" w:cs="Open Sans"/>
          <w:szCs w:val="20"/>
          <w:lang w:eastAsia="en-US"/>
        </w:rPr>
        <w:t>, para fins de aceitação e recebimento definitivo;</w:t>
      </w:r>
    </w:p>
    <w:p>
      <w:pPr>
        <w:numPr>
          <w:ilvl w:val="2"/>
          <w:numId w:val="2"/>
        </w:numPr>
        <w:spacing w:before="120" w:after="120" w:line="276" w:lineRule="auto"/>
        <w:ind w:left="1134" w:firstLine="0"/>
        <w:jc w:val="both"/>
        <w:rPr>
          <w:rFonts w:ascii="Open Sans" w:hAnsi="Open Sans" w:cs="Open Sans"/>
          <w:b/>
          <w:color w:val="000000"/>
          <w:szCs w:val="20"/>
        </w:rPr>
      </w:pPr>
      <w:r>
        <w:rPr>
          <w:rFonts w:ascii="Open Sans" w:hAnsi="Open Sans" w:cs="Open Sans"/>
          <w:szCs w:val="20"/>
        </w:rPr>
        <w:t>comunicar à Contratada, por escrito, sobre imperfeições, falhas ou irregularidades verificadas no objeto fornecido, para que seja substituído, reparado ou corrigido;</w:t>
      </w:r>
    </w:p>
    <w:p>
      <w:pPr>
        <w:numPr>
          <w:ilvl w:val="2"/>
          <w:numId w:val="2"/>
        </w:numPr>
        <w:spacing w:before="120" w:after="120" w:line="276" w:lineRule="auto"/>
        <w:ind w:left="1134" w:firstLine="0"/>
        <w:jc w:val="both"/>
        <w:rPr>
          <w:rFonts w:ascii="Open Sans" w:hAnsi="Open Sans" w:cs="Open Sans"/>
          <w:b/>
          <w:color w:val="000000"/>
          <w:szCs w:val="20"/>
        </w:rPr>
      </w:pPr>
      <w:r>
        <w:rPr>
          <w:rFonts w:ascii="Open Sans" w:hAnsi="Open Sans" w:cs="Open Sans"/>
          <w:szCs w:val="20"/>
          <w:lang w:eastAsia="en-US"/>
        </w:rPr>
        <w:t>acompanhar e fiscalizar o cumprimento das obrigações da Contratada, através de comissão/servidor especialmente designado;</w:t>
      </w:r>
    </w:p>
    <w:p>
      <w:pPr>
        <w:numPr>
          <w:ilvl w:val="2"/>
          <w:numId w:val="2"/>
        </w:numPr>
        <w:spacing w:before="120" w:after="120" w:line="276" w:lineRule="auto"/>
        <w:ind w:left="1134" w:firstLine="0"/>
        <w:jc w:val="both"/>
        <w:rPr>
          <w:rFonts w:ascii="Open Sans" w:hAnsi="Open Sans" w:cs="Open Sans"/>
          <w:b/>
          <w:color w:val="000000"/>
          <w:szCs w:val="20"/>
        </w:rPr>
      </w:pPr>
      <w:r>
        <w:rPr>
          <w:rFonts w:ascii="Open Sans" w:hAnsi="Open Sans" w:cs="Open Sans"/>
          <w:szCs w:val="20"/>
        </w:rPr>
        <w:t>efetuar o pagamento à Contratada</w:t>
      </w:r>
      <w:r>
        <w:rPr>
          <w:rFonts w:ascii="Open Sans" w:hAnsi="Open Sans" w:cs="Open Sans"/>
          <w:b/>
          <w:szCs w:val="20"/>
        </w:rPr>
        <w:t xml:space="preserve"> </w:t>
      </w:r>
      <w:r>
        <w:rPr>
          <w:rFonts w:ascii="Open Sans" w:hAnsi="Open Sans" w:cs="Open Sans"/>
          <w:szCs w:val="20"/>
        </w:rPr>
        <w:t>no valor correspondente ao fornecimento do objeto, no prazo e forma estabelecidos neste Termo de Referência e seus anexos;</w:t>
      </w:r>
    </w:p>
    <w:p>
      <w:pPr>
        <w:numPr>
          <w:ilvl w:val="1"/>
          <w:numId w:val="2"/>
        </w:numPr>
        <w:spacing w:before="120" w:after="120" w:line="276" w:lineRule="auto"/>
        <w:ind w:left="425" w:firstLine="0"/>
        <w:jc w:val="both"/>
        <w:rPr>
          <w:rFonts w:ascii="Open Sans" w:hAnsi="Open Sans" w:cs="Open Sans"/>
          <w:b/>
          <w:color w:val="000000"/>
          <w:szCs w:val="20"/>
        </w:rPr>
      </w:pPr>
      <w:r>
        <w:rPr>
          <w:rFonts w:ascii="Open Sans" w:hAnsi="Open Sans" w:cs="Open Sans"/>
          <w:szCs w:val="20"/>
        </w:rPr>
        <w:t>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pPr>
        <w:pStyle w:val="32"/>
        <w:shd w:val="clear" w:color="auto" w:fill="D8D8D8" w:themeFill="background1" w:themeFillShade="D9"/>
        <w:rPr>
          <w:rFonts w:ascii="Open Sans" w:hAnsi="Open Sans" w:cs="Open Sans"/>
        </w:rPr>
      </w:pPr>
      <w:r>
        <w:rPr>
          <w:rFonts w:ascii="Open Sans" w:hAnsi="Open Sans" w:cs="Open Sans"/>
        </w:rPr>
        <w:t>OBRIGAÇÕES DA CONTRATADA</w:t>
      </w:r>
    </w:p>
    <w:p>
      <w:pPr>
        <w:numPr>
          <w:ilvl w:val="1"/>
          <w:numId w:val="2"/>
        </w:numPr>
        <w:spacing w:before="120" w:after="120" w:line="276" w:lineRule="auto"/>
        <w:ind w:left="425" w:firstLine="0"/>
        <w:jc w:val="both"/>
        <w:rPr>
          <w:rFonts w:ascii="Open Sans" w:hAnsi="Open Sans" w:cs="Open Sans"/>
          <w:b/>
          <w:color w:val="000000"/>
          <w:szCs w:val="20"/>
        </w:rPr>
      </w:pPr>
      <w:r>
        <w:rPr>
          <w:rFonts w:ascii="Open Sans" w:hAnsi="Open Sans" w:cs="Open Sans"/>
          <w:szCs w:val="20"/>
        </w:rPr>
        <w:t>A Contratada deve cumprir todas as obrigações constantes neste Termo de Referência, seus anexos e sua proposta, assumindo como exclusivamente seus os riscos e as despesas decorrentes da boa e perfeita execução do objeto e, ainda:</w:t>
      </w:r>
    </w:p>
    <w:p>
      <w:pPr>
        <w:numPr>
          <w:ilvl w:val="2"/>
          <w:numId w:val="2"/>
        </w:numPr>
        <w:spacing w:before="120" w:after="120" w:line="276" w:lineRule="auto"/>
        <w:ind w:left="1134" w:firstLine="0"/>
        <w:jc w:val="both"/>
        <w:rPr>
          <w:rFonts w:ascii="Open Sans" w:hAnsi="Open Sans" w:cs="Open Sans"/>
          <w:b/>
          <w:szCs w:val="20"/>
        </w:rPr>
      </w:pPr>
      <w:r>
        <w:rPr>
          <w:rFonts w:ascii="Open Sans" w:hAnsi="Open Sans" w:cs="Open Sans"/>
          <w:szCs w:val="20"/>
        </w:rPr>
        <w:t>efetuar a entrega do objeto em perfeitas condições, conforme especificações, prazo e local constantes neste Termo de Referência e seus anexos, acompanhado da respectiva nota fiscal, na qual constarão as indicações referentes a: marca, fabricante, modelo, procedência e prazo de garantia ou validade;</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responsabilizar-se pelos vícios e danos decorrentes do objeto, de acordo com os artigos 12, 13 e 17 a 27, do Código de Defesa do Consumidor (Lei nº 8.078, de 1990);</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substituir, reparar ou corrigir, às suas expensas, no prazo fixado neste Termo de Referência, o objeto com avarias ou defeitos;</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comunicar à Contratante, no prazo máximo de 24 (vinte e quatro) horas que antecede a data da entrega, os motivos que impossibilitem o cumprimento do prazo previsto, com a devida comprovação;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manter, durante toda a execução do contrato, em compatibilidade com as obrigações assumidas, todas as condições de habilitação e qualificação exigidas na licitação;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indicar preposto para representá-la durante a execução do contrato.</w:t>
      </w:r>
    </w:p>
    <w:p>
      <w:pPr>
        <w:pStyle w:val="32"/>
        <w:shd w:val="clear" w:color="auto" w:fill="D8D8D8" w:themeFill="background1" w:themeFillShade="D9"/>
        <w:rPr>
          <w:rFonts w:ascii="Open Sans" w:hAnsi="Open Sans" w:cs="Open Sans"/>
        </w:rPr>
      </w:pPr>
      <w:r>
        <w:rPr>
          <w:rFonts w:ascii="Open Sans" w:hAnsi="Open Sans" w:cs="Open Sans"/>
        </w:rPr>
        <w:t>DA SUBCONTRATAÇÃO</w:t>
      </w:r>
    </w:p>
    <w:p>
      <w:pPr>
        <w:spacing w:before="120" w:after="120" w:line="276" w:lineRule="auto"/>
        <w:ind w:left="425"/>
        <w:jc w:val="both"/>
        <w:rPr>
          <w:rFonts w:ascii="Open Sans" w:hAnsi="Open Sans" w:cs="Open Sans"/>
          <w:szCs w:val="20"/>
        </w:rPr>
      </w:pPr>
      <w:r>
        <w:rPr>
          <w:rFonts w:ascii="Open Sans" w:hAnsi="Open Sans" w:cs="Open Sans"/>
          <w:szCs w:val="20"/>
        </w:rPr>
        <w:t>7.1 Não será admitida a subcontratação do objeto licitatório.</w:t>
      </w:r>
    </w:p>
    <w:p>
      <w:pPr>
        <w:pStyle w:val="32"/>
        <w:shd w:val="clear" w:color="auto" w:fill="D8D8D8" w:themeFill="background1" w:themeFillShade="D9"/>
        <w:rPr>
          <w:rFonts w:ascii="Open Sans" w:hAnsi="Open Sans" w:cs="Open Sans"/>
          <w:lang w:eastAsia="en-US"/>
        </w:rPr>
      </w:pPr>
      <w:r>
        <w:rPr>
          <w:rFonts w:ascii="Open Sans" w:hAnsi="Open Sans" w:cs="Open Sans"/>
          <w:lang w:eastAsia="en-US"/>
        </w:rPr>
        <w:t>ALTERAÇÃO SUBJETIVA</w:t>
      </w:r>
    </w:p>
    <w:p>
      <w:pPr>
        <w:numPr>
          <w:ilvl w:val="1"/>
          <w:numId w:val="2"/>
        </w:numPr>
        <w:spacing w:before="120" w:after="120" w:line="276" w:lineRule="auto"/>
        <w:ind w:left="425" w:firstLine="0"/>
        <w:jc w:val="both"/>
        <w:rPr>
          <w:rFonts w:ascii="Open Sans" w:hAnsi="Open Sans" w:cs="Open Sans"/>
          <w:color w:val="0000FF"/>
          <w:szCs w:val="20"/>
          <w:lang w:eastAsia="en-US"/>
        </w:rPr>
      </w:pPr>
      <w:r>
        <w:rPr>
          <w:rFonts w:ascii="Open Sans" w:hAnsi="Open Sans" w:cs="Open Sans"/>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32"/>
        <w:shd w:val="clear" w:color="auto" w:fill="D8D8D8" w:themeFill="background1" w:themeFillShade="D9"/>
        <w:rPr>
          <w:rFonts w:ascii="Open Sans" w:hAnsi="Open Sans" w:cs="Open Sans"/>
          <w:lang w:eastAsia="en-US"/>
        </w:rPr>
      </w:pPr>
      <w:r>
        <w:rPr>
          <w:rFonts w:ascii="Open Sans" w:hAnsi="Open Sans" w:cs="Open Sans"/>
          <w:lang w:eastAsia="en-US"/>
        </w:rPr>
        <w:t>CONTROLE DA EXECUÇÃO</w:t>
      </w:r>
    </w:p>
    <w:p>
      <w:pPr>
        <w:numPr>
          <w:ilvl w:val="1"/>
          <w:numId w:val="2"/>
        </w:numPr>
        <w:spacing w:before="120" w:after="120" w:line="276" w:lineRule="auto"/>
        <w:ind w:left="425" w:firstLine="0"/>
        <w:jc w:val="both"/>
        <w:rPr>
          <w:rFonts w:ascii="Open Sans" w:hAnsi="Open Sans" w:cs="Open Sans"/>
          <w:bCs/>
          <w:color w:val="000000"/>
          <w:szCs w:val="20"/>
        </w:rPr>
      </w:pPr>
      <w:r>
        <w:rPr>
          <w:rFonts w:ascii="Open Sans" w:hAnsi="Open Sans" w:cs="Open Sans"/>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numPr>
          <w:ilvl w:val="1"/>
          <w:numId w:val="2"/>
        </w:numPr>
        <w:spacing w:before="120" w:after="120" w:line="276" w:lineRule="auto"/>
        <w:ind w:left="425" w:firstLine="0"/>
        <w:jc w:val="both"/>
        <w:rPr>
          <w:rFonts w:ascii="Open Sans" w:hAnsi="Open Sans" w:cs="Open Sans"/>
          <w:color w:val="000000"/>
          <w:szCs w:val="20"/>
          <w:lang w:eastAsia="en-US"/>
        </w:rPr>
      </w:pPr>
      <w:r>
        <w:rPr>
          <w:rFonts w:ascii="Open Sans" w:hAnsi="Open Sans" w:cs="Open Sans"/>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numPr>
          <w:ilvl w:val="1"/>
          <w:numId w:val="2"/>
        </w:numPr>
        <w:spacing w:before="120" w:after="120" w:line="276" w:lineRule="auto"/>
        <w:ind w:left="425" w:firstLine="0"/>
        <w:jc w:val="both"/>
        <w:rPr>
          <w:rFonts w:ascii="Open Sans" w:hAnsi="Open Sans" w:cs="Open Sans"/>
          <w:color w:val="000000"/>
          <w:szCs w:val="20"/>
        </w:rPr>
      </w:pPr>
      <w:r>
        <w:rPr>
          <w:rFonts w:ascii="Open Sans" w:hAnsi="Open Sans" w:cs="Open Sans"/>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32"/>
        <w:shd w:val="clear" w:color="auto" w:fill="D8D8D8" w:themeFill="background1" w:themeFillShade="D9"/>
        <w:rPr>
          <w:rFonts w:ascii="Open Sans" w:hAnsi="Open Sans" w:cs="Open Sans"/>
        </w:rPr>
      </w:pPr>
      <w:r>
        <w:rPr>
          <w:rFonts w:ascii="Open Sans" w:hAnsi="Open Sans" w:cs="Open Sans"/>
        </w:rPr>
        <w:t>DAS SANÇÕES ADMINISTRATIVAS</w:t>
      </w:r>
    </w:p>
    <w:p>
      <w:pPr>
        <w:numPr>
          <w:ilvl w:val="1"/>
          <w:numId w:val="2"/>
        </w:numPr>
        <w:spacing w:before="120" w:after="120" w:line="276" w:lineRule="auto"/>
        <w:ind w:left="425" w:firstLine="0"/>
        <w:jc w:val="both"/>
        <w:rPr>
          <w:rFonts w:ascii="Open Sans" w:hAnsi="Open Sans" w:cs="Open Sans"/>
          <w:szCs w:val="20"/>
        </w:rPr>
      </w:pPr>
      <w:r>
        <w:rPr>
          <w:rFonts w:ascii="Open Sans" w:hAnsi="Open Sans" w:cs="Open Sans"/>
          <w:szCs w:val="20"/>
        </w:rPr>
        <w:t>Comete infração administrativa nos termos da Lei nº 8.666, de 1993 e da Lei nº 10.520, de 2002, a Contratada que:</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inexecutar total ou parcialmente qualquer das obrigações assumidas em decorrência da contratação;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ensejar o retardamento da execução do objeto;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fraudar na execução do contrato;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comportar-se de modo inidôneo;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cometer fraude fiscal;</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não mantiver a proposta.</w:t>
      </w:r>
    </w:p>
    <w:p>
      <w:pPr>
        <w:numPr>
          <w:ilvl w:val="1"/>
          <w:numId w:val="2"/>
        </w:numPr>
        <w:spacing w:before="120" w:after="120" w:line="276" w:lineRule="auto"/>
        <w:ind w:left="425" w:firstLine="0"/>
        <w:jc w:val="both"/>
        <w:rPr>
          <w:rFonts w:ascii="Open Sans" w:hAnsi="Open Sans" w:cs="Open Sans"/>
          <w:szCs w:val="20"/>
        </w:rPr>
      </w:pPr>
      <w:r>
        <w:rPr>
          <w:rFonts w:ascii="Open Sans" w:hAnsi="Open Sans" w:cs="Open Sans"/>
          <w:szCs w:val="20"/>
        </w:rPr>
        <w:t>A Contratada que cometer qualquer das infrações discriminadas no subitem acima ficará sujeita, sem prejuízo da responsabilidade civil e criminal, às seguintes sanções:</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advertência por faltas leves, assim entendidas aquelas que não acarretem prejuízos significativos para a Contratante;</w:t>
      </w:r>
    </w:p>
    <w:p>
      <w:pPr>
        <w:numPr>
          <w:ilvl w:val="1"/>
          <w:numId w:val="2"/>
        </w:numPr>
        <w:spacing w:before="120" w:after="120" w:line="276" w:lineRule="auto"/>
        <w:ind w:left="425" w:firstLine="0"/>
        <w:jc w:val="both"/>
        <w:rPr>
          <w:rFonts w:ascii="Open Sans" w:hAnsi="Open Sans" w:cs="Open Sans"/>
          <w:szCs w:val="20"/>
        </w:rPr>
      </w:pPr>
      <w:r>
        <w:rPr>
          <w:rFonts w:ascii="Open Sans" w:hAnsi="Open Sans" w:cs="Open Sans"/>
          <w:szCs w:val="20"/>
        </w:rPr>
        <w:t>multa moratória de 1% (um por cento) por dia de atraso injustificado sobre o valor da parcela inadimplida, até o limite de 20 (vinte) dias;</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multa compensatória de 15% (quinze por cento) sobre o valor total do contrato, no caso de inexecução total do objeto;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em caso de inexecução parcial, a multa compensatória, no mesmo percentual do subitem acima, será aplicada de forma proporcional à obrigação inadimplida;</w:t>
      </w:r>
    </w:p>
    <w:p>
      <w:pPr>
        <w:numPr>
          <w:ilvl w:val="2"/>
          <w:numId w:val="2"/>
        </w:numPr>
        <w:spacing w:before="120" w:after="120" w:line="276" w:lineRule="auto"/>
        <w:ind w:left="1134" w:firstLine="0"/>
        <w:jc w:val="both"/>
        <w:rPr>
          <w:rFonts w:ascii="Open Sans" w:hAnsi="Open Sans" w:cs="Open Sans"/>
          <w:b/>
          <w:i/>
          <w:color w:val="7030A0"/>
          <w:szCs w:val="20"/>
          <w:u w:val="single"/>
        </w:rPr>
      </w:pPr>
      <w:r>
        <w:rPr>
          <w:rFonts w:ascii="Open Sans" w:hAnsi="Open Sans" w:cs="Open Sans"/>
          <w:szCs w:val="20"/>
        </w:rPr>
        <w:t xml:space="preserve">suspensão de licitar e impedimento de contratar com o órgão, entidade ou unidade administrativa pela qual a Administração Pública opera e atua concretamente, pelo prazo de até dois anos; </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impedimento de licitar e contratar com a União com o consequente descredenciamento no SICAF pelo prazo de até cinco anos;</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numPr>
          <w:ilvl w:val="1"/>
          <w:numId w:val="2"/>
        </w:numPr>
        <w:spacing w:before="120" w:after="120" w:line="276" w:lineRule="auto"/>
        <w:ind w:left="425" w:firstLine="0"/>
        <w:jc w:val="both"/>
        <w:rPr>
          <w:rFonts w:ascii="Open Sans" w:hAnsi="Open Sans" w:cs="Open Sans"/>
          <w:szCs w:val="20"/>
        </w:rPr>
      </w:pPr>
      <w:r>
        <w:rPr>
          <w:rFonts w:ascii="Open Sans" w:hAnsi="Open Sans" w:cs="Open Sans"/>
          <w:szCs w:val="20"/>
        </w:rPr>
        <w:t>Também ficam sujeitas às penalidades do art. 87, III e IV da Lei nº 8.666, de 1993, as empresas ou profissionais que:</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tenham sofrido condenação definitiva por praticar, por meio dolosos, fraude fiscal no recolhimento de quaisquer tributos;</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tenham praticado atos ilícitos visando a frustrar os objetivos da licitação;</w:t>
      </w:r>
    </w:p>
    <w:p>
      <w:pPr>
        <w:numPr>
          <w:ilvl w:val="2"/>
          <w:numId w:val="2"/>
        </w:numPr>
        <w:spacing w:before="120" w:after="120" w:line="276" w:lineRule="auto"/>
        <w:ind w:left="1134" w:firstLine="0"/>
        <w:jc w:val="both"/>
        <w:rPr>
          <w:rFonts w:ascii="Open Sans" w:hAnsi="Open Sans" w:cs="Open Sans"/>
          <w:szCs w:val="20"/>
        </w:rPr>
      </w:pPr>
      <w:r>
        <w:rPr>
          <w:rFonts w:ascii="Open Sans" w:hAnsi="Open Sans" w:cs="Open Sans"/>
          <w:szCs w:val="20"/>
        </w:rPr>
        <w:t>demonstrem não possuir idoneidade para contratar com a Administração em virtude de atos ilícitos praticados.</w:t>
      </w:r>
    </w:p>
    <w:p>
      <w:pPr>
        <w:numPr>
          <w:ilvl w:val="1"/>
          <w:numId w:val="2"/>
        </w:numPr>
        <w:spacing w:before="120" w:after="120" w:line="276" w:lineRule="auto"/>
        <w:ind w:left="425" w:firstLine="0"/>
        <w:jc w:val="both"/>
        <w:rPr>
          <w:rFonts w:ascii="Open Sans" w:hAnsi="Open Sans" w:cs="Open Sans"/>
          <w:szCs w:val="20"/>
        </w:rPr>
      </w:pPr>
      <w:r>
        <w:rPr>
          <w:rFonts w:ascii="Open Sans" w:hAnsi="Open Sans" w:cs="Open Sans"/>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numPr>
          <w:ilvl w:val="1"/>
          <w:numId w:val="2"/>
        </w:numPr>
        <w:spacing w:before="120" w:after="120" w:line="276" w:lineRule="auto"/>
        <w:ind w:left="425" w:firstLine="0"/>
        <w:jc w:val="both"/>
        <w:rPr>
          <w:rFonts w:ascii="Open Sans" w:hAnsi="Open Sans" w:cs="Open Sans"/>
          <w:i/>
          <w:szCs w:val="20"/>
        </w:rPr>
      </w:pPr>
      <w:r>
        <w:rPr>
          <w:rFonts w:ascii="Open Sans" w:hAnsi="Open Sans" w:cs="Open Sans"/>
          <w:szCs w:val="20"/>
        </w:rPr>
        <w:t>A autoridade competente, na aplicação das sanções, levará em consideração a gravidade da conduta do infrator, o caráter educativo da pena, bem como o dano causado à Administração, observado o princípio da proporcionalidade.</w:t>
      </w:r>
    </w:p>
    <w:p>
      <w:pPr>
        <w:numPr>
          <w:ilvl w:val="1"/>
          <w:numId w:val="2"/>
        </w:numPr>
        <w:spacing w:before="120" w:after="120" w:line="276" w:lineRule="auto"/>
        <w:ind w:left="425" w:firstLine="0"/>
        <w:jc w:val="both"/>
        <w:rPr>
          <w:rFonts w:ascii="Open Sans" w:hAnsi="Open Sans" w:cs="Open Sans"/>
          <w:i/>
          <w:szCs w:val="20"/>
        </w:rPr>
      </w:pPr>
      <w:r>
        <w:rPr>
          <w:rFonts w:ascii="Open Sans" w:hAnsi="Open Sans" w:cs="Open Sans"/>
          <w:szCs w:val="20"/>
        </w:rPr>
        <w:t>As penalidades serão obrigatoriamente registradas no SICAF.</w:t>
      </w:r>
    </w:p>
    <w:p>
      <w:pPr>
        <w:spacing w:before="120" w:after="120" w:line="276" w:lineRule="auto"/>
        <w:ind w:left="425"/>
        <w:jc w:val="both"/>
        <w:rPr>
          <w:rFonts w:ascii="Open Sans" w:hAnsi="Open Sans" w:cs="Open Sans"/>
          <w:szCs w:val="20"/>
        </w:rPr>
      </w:pPr>
    </w:p>
    <w:p>
      <w:pPr>
        <w:spacing w:before="120" w:after="120" w:line="276" w:lineRule="auto"/>
        <w:ind w:left="425"/>
        <w:jc w:val="both"/>
        <w:rPr>
          <w:rFonts w:ascii="Open Sans" w:hAnsi="Open Sans" w:cs="Open Sans"/>
          <w:szCs w:val="20"/>
        </w:rPr>
      </w:pPr>
      <w:r>
        <w:rPr>
          <w:rFonts w:ascii="Open Sans" w:hAnsi="Open Sans" w:cs="Open Sans"/>
          <w:szCs w:val="20"/>
        </w:rPr>
        <w:t>Itabaiana/SE, 27 de setembro de 2017.</w:t>
      </w:r>
    </w:p>
    <w:p>
      <w:pPr>
        <w:spacing w:before="120" w:after="120" w:line="276" w:lineRule="auto"/>
        <w:ind w:left="360"/>
        <w:jc w:val="both"/>
        <w:rPr>
          <w:rFonts w:ascii="Open Sans" w:hAnsi="Open Sans" w:cs="Open Sans"/>
          <w:szCs w:val="20"/>
        </w:rPr>
      </w:pPr>
    </w:p>
    <w:p>
      <w:pPr>
        <w:ind w:firstLine="57"/>
        <w:jc w:val="center"/>
        <w:rPr>
          <w:rFonts w:ascii="Open Sans" w:hAnsi="Open Sans" w:cs="Open Sans"/>
        </w:rPr>
      </w:pPr>
      <w:r>
        <w:rPr>
          <w:rFonts w:ascii="Open Sans" w:hAnsi="Open Sans" w:cs="Open Sans"/>
          <w:szCs w:val="20"/>
        </w:rPr>
        <mc:AlternateContent>
          <mc:Choice Requires="wps">
            <w:drawing>
              <wp:anchor distT="0" distB="0" distL="114300" distR="114300" simplePos="0" relativeHeight="251660288" behindDoc="0" locked="0" layoutInCell="1" allowOverlap="1">
                <wp:simplePos x="0" y="0"/>
                <wp:positionH relativeFrom="column">
                  <wp:posOffset>1574165</wp:posOffset>
                </wp:positionH>
                <wp:positionV relativeFrom="paragraph">
                  <wp:posOffset>8395335</wp:posOffset>
                </wp:positionV>
                <wp:extent cx="3657600" cy="1828800"/>
                <wp:effectExtent l="0" t="0" r="19050" b="19050"/>
                <wp:wrapNone/>
                <wp:docPr id="3" name="Caixa de Texto 3"/>
                <wp:cNvGraphicFramePr/>
                <a:graphic xmlns:a="http://schemas.openxmlformats.org/drawingml/2006/main">
                  <a:graphicData uri="http://schemas.microsoft.com/office/word/2010/wordprocessingShape">
                    <wps:wsp>
                      <wps:cNvSpPr txBox="1"/>
                      <wps:spPr>
                        <a:xfrm>
                          <a:off x="0" y="0"/>
                          <a:ext cx="3657600" cy="1828800"/>
                        </a:xfrm>
                        <a:prstGeom prst="rect">
                          <a:avLst/>
                        </a:prstGeom>
                        <a:solidFill>
                          <a:srgbClr val="FFFFFF"/>
                        </a:solidFill>
                        <a:ln w="6345">
                          <a:solidFill>
                            <a:srgbClr val="000000"/>
                          </a:solidFill>
                          <a:prstDash val="solid"/>
                        </a:ln>
                      </wps:spPr>
                      <wps:txbx>
                        <w:txbxContent>
                          <w:p>
                            <w:pPr>
                              <w:snapToGrid w:val="0"/>
                              <w:spacing w:line="100" w:lineRule="atLeast"/>
                              <w:jc w:val="center"/>
                              <w:rPr>
                                <w:rFonts w:ascii="Calibri" w:hAnsi="Calibri" w:eastAsia="Ecofont_Spranq_eco_Sans" w:cs="Arial"/>
                                <w:b/>
                                <w:bCs/>
                                <w:color w:val="000000"/>
                                <w:sz w:val="22"/>
                                <w:szCs w:val="22"/>
                              </w:rPr>
                            </w:pPr>
                            <w:r>
                              <w:rPr>
                                <w:rFonts w:ascii="Calibri" w:hAnsi="Calibri" w:eastAsia="Ecofont_Spranq_eco_Sans" w:cs="Arial"/>
                                <w:b/>
                                <w:bCs/>
                                <w:color w:val="000000"/>
                                <w:sz w:val="22"/>
                                <w:szCs w:val="22"/>
                              </w:rPr>
                              <w:t>APROVAÇÃO DO TERMO DE REFERÊNCIA, COM MOTIVAÇÃO NAS JUSTIFICATIVAS APRESENTADAS</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    ) Aprovado (    ) Não Aprovado</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Data:     /     / 2017</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______________________________</w:t>
                            </w:r>
                          </w:p>
                          <w:p>
                            <w:pPr>
                              <w:jc w:val="center"/>
                              <w:rPr>
                                <w:rFonts w:ascii="Calibri" w:hAnsi="Calibri" w:eastAsia="Ecofont_Spranq_eco_Sans" w:cs="Arial"/>
                                <w:sz w:val="22"/>
                                <w:szCs w:val="22"/>
                              </w:rPr>
                            </w:pPr>
                            <w:r>
                              <w:rPr>
                                <w:rFonts w:ascii="Calibri" w:hAnsi="Calibri" w:eastAsia="Ecofont_Spranq_eco_Sans" w:cs="Arial"/>
                                <w:sz w:val="22"/>
                                <w:szCs w:val="22"/>
                              </w:rPr>
                              <w:t>AILTON RIBEIRO DE OLIVEIRA</w:t>
                            </w:r>
                          </w:p>
                          <w:p>
                            <w:pPr>
                              <w:jc w:val="center"/>
                              <w:rPr>
                                <w:rFonts w:ascii="Calibri" w:hAnsi="Calibri" w:eastAsia="Ecofont_Spranq_eco_Sans"/>
                                <w:color w:val="000000"/>
                                <w:sz w:val="22"/>
                                <w:szCs w:val="22"/>
                              </w:rPr>
                            </w:pPr>
                            <w:r>
                              <w:rPr>
                                <w:rFonts w:ascii="Calibri" w:hAnsi="Calibri" w:eastAsia="Ecofont_Spranq_eco_Sans"/>
                                <w:color w:val="000000"/>
                                <w:sz w:val="22"/>
                                <w:szCs w:val="22"/>
                              </w:rPr>
                              <w:t>Reitor</w:t>
                            </w:r>
                          </w:p>
                        </w:txbxContent>
                      </wps:txbx>
                      <wps:bodyPr vert="horz" wrap="square" lIns="94612" tIns="48892" rIns="94612" bIns="48892" anchor="t" anchorCtr="0" compatLnSpc="0">
                        <a:noAutofit/>
                      </wps:bodyPr>
                    </wps:wsp>
                  </a:graphicData>
                </a:graphic>
              </wp:anchor>
            </w:drawing>
          </mc:Choice>
          <mc:Fallback>
            <w:pict>
              <v:shape id="_x0000_s1026" o:spid="_x0000_s1026" o:spt="202" type="#_x0000_t202" style="position:absolute;left:0pt;margin-left:123.95pt;margin-top:661.05pt;height:144pt;width:288pt;z-index:251660288;mso-width-relative:page;mso-height-relative:page;" fillcolor="#FFFFFF" filled="t" stroked="t" coordsize="21600,21600" o:gfxdata="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z3jibWAAAADQEAAA8AAAAAAAAAAQAgAAAAIgAAAGRycy9kb3ducmV2LnhtbFBL&#10;AQIUABQAAAAIAIdO4kCatzKO+AEAAP8DAAAOAAAAAAAAAAEAIAAAACUBAABkcnMvZTJvRG9jLnht&#10;bFBLBQYAAAAABgAGAFkBAACPBQAAAAA=&#10;">
                <v:fill on="t" focussize="0,0"/>
                <v:stroke weight="0.499606299212598pt" color="#000000" joinstyle="round"/>
                <v:imagedata o:title=""/>
                <o:lock v:ext="edit" aspectratio="f"/>
                <v:textbox inset="7.44976377952756pt,3.84976377952756pt,7.44976377952756pt,3.84976377952756pt">
                  <w:txbxContent>
                    <w:p>
                      <w:pPr>
                        <w:snapToGrid w:val="0"/>
                        <w:spacing w:line="100" w:lineRule="atLeast"/>
                        <w:jc w:val="center"/>
                        <w:rPr>
                          <w:rFonts w:ascii="Calibri" w:hAnsi="Calibri" w:eastAsia="Ecofont_Spranq_eco_Sans" w:cs="Arial"/>
                          <w:b/>
                          <w:bCs/>
                          <w:color w:val="000000"/>
                          <w:sz w:val="22"/>
                          <w:szCs w:val="22"/>
                        </w:rPr>
                      </w:pPr>
                      <w:r>
                        <w:rPr>
                          <w:rFonts w:ascii="Calibri" w:hAnsi="Calibri" w:eastAsia="Ecofont_Spranq_eco_Sans" w:cs="Arial"/>
                          <w:b/>
                          <w:bCs/>
                          <w:color w:val="000000"/>
                          <w:sz w:val="22"/>
                          <w:szCs w:val="22"/>
                        </w:rPr>
                        <w:t>APROVAÇÃO DO TERMO DE REFERÊNCIA, COM MOTIVAÇÃO NAS JUSTIFICATIVAS APRESENTADAS</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    ) Aprovado (    ) Não Aprovado</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Data:     /     / 2017</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______________________________</w:t>
                      </w:r>
                    </w:p>
                    <w:p>
                      <w:pPr>
                        <w:jc w:val="center"/>
                        <w:rPr>
                          <w:rFonts w:ascii="Calibri" w:hAnsi="Calibri" w:eastAsia="Ecofont_Spranq_eco_Sans" w:cs="Arial"/>
                          <w:sz w:val="22"/>
                          <w:szCs w:val="22"/>
                        </w:rPr>
                      </w:pPr>
                      <w:r>
                        <w:rPr>
                          <w:rFonts w:ascii="Calibri" w:hAnsi="Calibri" w:eastAsia="Ecofont_Spranq_eco_Sans" w:cs="Arial"/>
                          <w:sz w:val="22"/>
                          <w:szCs w:val="22"/>
                        </w:rPr>
                        <w:t>AILTON RIBEIRO DE OLIVEIRA</w:t>
                      </w:r>
                    </w:p>
                    <w:p>
                      <w:pPr>
                        <w:jc w:val="center"/>
                        <w:rPr>
                          <w:rFonts w:ascii="Calibri" w:hAnsi="Calibri" w:eastAsia="Ecofont_Spranq_eco_Sans"/>
                          <w:color w:val="000000"/>
                          <w:sz w:val="22"/>
                          <w:szCs w:val="22"/>
                        </w:rPr>
                      </w:pPr>
                      <w:r>
                        <w:rPr>
                          <w:rFonts w:ascii="Calibri" w:hAnsi="Calibri" w:eastAsia="Ecofont_Spranq_eco_Sans"/>
                          <w:color w:val="000000"/>
                          <w:sz w:val="22"/>
                          <w:szCs w:val="22"/>
                        </w:rPr>
                        <w:t>Reitor</w:t>
                      </w:r>
                    </w:p>
                  </w:txbxContent>
                </v:textbox>
              </v:shape>
            </w:pict>
          </mc:Fallback>
        </mc:AlternateContent>
      </w:r>
      <w:r>
        <w:rPr>
          <w:rFonts w:ascii="Open Sans" w:hAnsi="Open Sans" w:cs="Open Sans"/>
          <w:szCs w:val="20"/>
        </w:rPr>
        <mc:AlternateContent>
          <mc:Choice Requires="wps">
            <w:drawing>
              <wp:anchor distT="0" distB="0" distL="114300" distR="114300" simplePos="0" relativeHeight="251659264" behindDoc="0" locked="0" layoutInCell="1" allowOverlap="1">
                <wp:simplePos x="0" y="0"/>
                <wp:positionH relativeFrom="column">
                  <wp:posOffset>1574165</wp:posOffset>
                </wp:positionH>
                <wp:positionV relativeFrom="paragraph">
                  <wp:posOffset>8395335</wp:posOffset>
                </wp:positionV>
                <wp:extent cx="3657600" cy="1828800"/>
                <wp:effectExtent l="0" t="0" r="19050" b="19050"/>
                <wp:wrapNone/>
                <wp:docPr id="4" name="Caixa de Texto 1"/>
                <wp:cNvGraphicFramePr/>
                <a:graphic xmlns:a="http://schemas.openxmlformats.org/drawingml/2006/main">
                  <a:graphicData uri="http://schemas.microsoft.com/office/word/2010/wordprocessingShape">
                    <wps:wsp>
                      <wps:cNvSpPr txBox="1"/>
                      <wps:spPr>
                        <a:xfrm>
                          <a:off x="0" y="0"/>
                          <a:ext cx="3657600" cy="1828800"/>
                        </a:xfrm>
                        <a:prstGeom prst="rect">
                          <a:avLst/>
                        </a:prstGeom>
                        <a:solidFill>
                          <a:srgbClr val="FFFFFF"/>
                        </a:solidFill>
                        <a:ln w="6345">
                          <a:solidFill>
                            <a:srgbClr val="000000"/>
                          </a:solidFill>
                          <a:prstDash val="solid"/>
                        </a:ln>
                      </wps:spPr>
                      <wps:txbx>
                        <w:txbxContent>
                          <w:p>
                            <w:pPr>
                              <w:snapToGrid w:val="0"/>
                              <w:spacing w:line="100" w:lineRule="atLeast"/>
                              <w:jc w:val="center"/>
                              <w:rPr>
                                <w:rFonts w:ascii="Calibri" w:hAnsi="Calibri" w:eastAsia="Ecofont_Spranq_eco_Sans" w:cs="Arial"/>
                                <w:b/>
                                <w:bCs/>
                                <w:color w:val="000000"/>
                                <w:sz w:val="22"/>
                                <w:szCs w:val="22"/>
                              </w:rPr>
                            </w:pPr>
                            <w:r>
                              <w:rPr>
                                <w:rFonts w:ascii="Calibri" w:hAnsi="Calibri" w:eastAsia="Ecofont_Spranq_eco_Sans" w:cs="Arial"/>
                                <w:b/>
                                <w:bCs/>
                                <w:color w:val="000000"/>
                                <w:sz w:val="22"/>
                                <w:szCs w:val="22"/>
                              </w:rPr>
                              <w:t>APROVAÇÃO DO TERMO DE REFERÊNCIA, COM MOTIVAÇÃO NAS JUSTIFICATIVAS APRESENTADAS</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    ) Aprovado (    ) Não Aprovado</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Data:     /     / 2017</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______________________________</w:t>
                            </w:r>
                          </w:p>
                          <w:p>
                            <w:pPr>
                              <w:jc w:val="center"/>
                              <w:rPr>
                                <w:rFonts w:ascii="Calibri" w:hAnsi="Calibri" w:eastAsia="Ecofont_Spranq_eco_Sans" w:cs="Arial"/>
                                <w:sz w:val="22"/>
                                <w:szCs w:val="22"/>
                              </w:rPr>
                            </w:pPr>
                            <w:r>
                              <w:rPr>
                                <w:rFonts w:ascii="Calibri" w:hAnsi="Calibri" w:eastAsia="Ecofont_Spranq_eco_Sans" w:cs="Arial"/>
                                <w:sz w:val="22"/>
                                <w:szCs w:val="22"/>
                              </w:rPr>
                              <w:t>AILTON RIBEIRO DE OLIVEIRA</w:t>
                            </w:r>
                          </w:p>
                          <w:p>
                            <w:pPr>
                              <w:jc w:val="center"/>
                              <w:rPr>
                                <w:rFonts w:ascii="Calibri" w:hAnsi="Calibri" w:eastAsia="Ecofont_Spranq_eco_Sans"/>
                                <w:color w:val="000000"/>
                                <w:sz w:val="22"/>
                                <w:szCs w:val="22"/>
                              </w:rPr>
                            </w:pPr>
                            <w:r>
                              <w:rPr>
                                <w:rFonts w:ascii="Calibri" w:hAnsi="Calibri" w:eastAsia="Ecofont_Spranq_eco_Sans"/>
                                <w:color w:val="000000"/>
                                <w:sz w:val="22"/>
                                <w:szCs w:val="22"/>
                              </w:rPr>
                              <w:t>Reitor</w:t>
                            </w:r>
                          </w:p>
                        </w:txbxContent>
                      </wps:txbx>
                      <wps:bodyPr vert="horz" wrap="square" lIns="94612" tIns="48892" rIns="94612" bIns="48892" anchor="t" anchorCtr="0" compatLnSpc="0">
                        <a:noAutofit/>
                      </wps:bodyPr>
                    </wps:wsp>
                  </a:graphicData>
                </a:graphic>
              </wp:anchor>
            </w:drawing>
          </mc:Choice>
          <mc:Fallback>
            <w:pict>
              <v:shape id="Caixa de Texto 1" o:spid="_x0000_s1026" o:spt="202" type="#_x0000_t202" style="position:absolute;left:0pt;margin-left:123.95pt;margin-top:661.05pt;height:144pt;width:288pt;z-index:251659264;mso-width-relative:page;mso-height-relative:page;" fillcolor="#FFFFFF" filled="t" stroked="t" coordsize="21600,21600" o:gfxdata="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z3jibWAAAADQEAAA8AAAAAAAAAAQAgAAAAIgAAAGRycy9kb3ducmV2LnhtbFBL&#10;AQIUABQAAAAIAIdO4kDKDuKG+AEAAP8DAAAOAAAAAAAAAAEAIAAAACUBAABkcnMvZTJvRG9jLnht&#10;bFBLBQYAAAAABgAGAFkBAACPBQAAAAA=&#10;">
                <v:fill on="t" focussize="0,0"/>
                <v:stroke weight="0.499606299212598pt" color="#000000" joinstyle="round"/>
                <v:imagedata o:title=""/>
                <o:lock v:ext="edit" aspectratio="f"/>
                <v:textbox inset="7.44976377952756pt,3.84976377952756pt,7.44976377952756pt,3.84976377952756pt">
                  <w:txbxContent>
                    <w:p>
                      <w:pPr>
                        <w:snapToGrid w:val="0"/>
                        <w:spacing w:line="100" w:lineRule="atLeast"/>
                        <w:jc w:val="center"/>
                        <w:rPr>
                          <w:rFonts w:ascii="Calibri" w:hAnsi="Calibri" w:eastAsia="Ecofont_Spranq_eco_Sans" w:cs="Arial"/>
                          <w:b/>
                          <w:bCs/>
                          <w:color w:val="000000"/>
                          <w:sz w:val="22"/>
                          <w:szCs w:val="22"/>
                        </w:rPr>
                      </w:pPr>
                      <w:r>
                        <w:rPr>
                          <w:rFonts w:ascii="Calibri" w:hAnsi="Calibri" w:eastAsia="Ecofont_Spranq_eco_Sans" w:cs="Arial"/>
                          <w:b/>
                          <w:bCs/>
                          <w:color w:val="000000"/>
                          <w:sz w:val="22"/>
                          <w:szCs w:val="22"/>
                        </w:rPr>
                        <w:t>APROVAÇÃO DO TERMO DE REFERÊNCIA, COM MOTIVAÇÃO NAS JUSTIFICATIVAS APRESENTADAS</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    ) Aprovado (    ) Não Aprovado</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Data:     /     / 2017</w:t>
                      </w:r>
                    </w:p>
                    <w:p>
                      <w:pPr>
                        <w:spacing w:before="280" w:line="100" w:lineRule="atLeast"/>
                        <w:jc w:val="center"/>
                        <w:rPr>
                          <w:rFonts w:ascii="Calibri" w:hAnsi="Calibri" w:eastAsia="Ecofont_Spranq_eco_Sans" w:cs="Arial"/>
                          <w:color w:val="000000"/>
                          <w:sz w:val="22"/>
                          <w:szCs w:val="22"/>
                        </w:rPr>
                      </w:pPr>
                      <w:r>
                        <w:rPr>
                          <w:rFonts w:ascii="Calibri" w:hAnsi="Calibri" w:eastAsia="Ecofont_Spranq_eco_Sans" w:cs="Arial"/>
                          <w:color w:val="000000"/>
                          <w:sz w:val="22"/>
                          <w:szCs w:val="22"/>
                        </w:rPr>
                        <w:t>______________________________</w:t>
                      </w:r>
                    </w:p>
                    <w:p>
                      <w:pPr>
                        <w:jc w:val="center"/>
                        <w:rPr>
                          <w:rFonts w:ascii="Calibri" w:hAnsi="Calibri" w:eastAsia="Ecofont_Spranq_eco_Sans" w:cs="Arial"/>
                          <w:sz w:val="22"/>
                          <w:szCs w:val="22"/>
                        </w:rPr>
                      </w:pPr>
                      <w:r>
                        <w:rPr>
                          <w:rFonts w:ascii="Calibri" w:hAnsi="Calibri" w:eastAsia="Ecofont_Spranq_eco_Sans" w:cs="Arial"/>
                          <w:sz w:val="22"/>
                          <w:szCs w:val="22"/>
                        </w:rPr>
                        <w:t>AILTON RIBEIRO DE OLIVEIRA</w:t>
                      </w:r>
                    </w:p>
                    <w:p>
                      <w:pPr>
                        <w:jc w:val="center"/>
                        <w:rPr>
                          <w:rFonts w:ascii="Calibri" w:hAnsi="Calibri" w:eastAsia="Ecofont_Spranq_eco_Sans"/>
                          <w:color w:val="000000"/>
                          <w:sz w:val="22"/>
                          <w:szCs w:val="22"/>
                        </w:rPr>
                      </w:pPr>
                      <w:r>
                        <w:rPr>
                          <w:rFonts w:ascii="Calibri" w:hAnsi="Calibri" w:eastAsia="Ecofont_Spranq_eco_Sans"/>
                          <w:color w:val="000000"/>
                          <w:sz w:val="22"/>
                          <w:szCs w:val="22"/>
                        </w:rPr>
                        <w:t>Reitor</w:t>
                      </w:r>
                    </w:p>
                  </w:txbxContent>
                </v:textbox>
              </v:shape>
            </w:pict>
          </mc:Fallback>
        </mc:AlternateContent>
      </w:r>
      <w:r>
        <w:rPr>
          <w:rFonts w:ascii="Open Sans" w:hAnsi="Open Sans" w:cs="Open Sans"/>
          <w:sz w:val="16"/>
          <w:szCs w:val="16"/>
        </w:rPr>
        <w:t>__________________________________________________</w:t>
      </w:r>
    </w:p>
    <w:p>
      <w:pPr>
        <w:ind w:firstLine="57"/>
        <w:jc w:val="center"/>
        <w:rPr>
          <w:rFonts w:ascii="Open Sans" w:hAnsi="Open Sans" w:cs="Open Sans"/>
          <w:szCs w:val="20"/>
        </w:rPr>
      </w:pPr>
      <w:r>
        <w:rPr>
          <w:rFonts w:ascii="Open Sans" w:hAnsi="Open Sans" w:cs="Open Sans"/>
          <w:szCs w:val="20"/>
        </w:rPr>
        <w:t>Davidson França Menezes</w:t>
      </w:r>
    </w:p>
    <w:p>
      <w:pPr>
        <w:ind w:firstLine="57"/>
        <w:jc w:val="center"/>
        <w:rPr>
          <w:rFonts w:ascii="Open Sans" w:hAnsi="Open Sans" w:cs="Open Sans"/>
          <w:b/>
          <w:szCs w:val="20"/>
        </w:rPr>
      </w:pPr>
      <w:r>
        <w:rPr>
          <w:rFonts w:ascii="Open Sans" w:hAnsi="Open Sans" w:cs="Open Sans"/>
          <w:b/>
          <w:szCs w:val="20"/>
        </w:rPr>
        <w:t>GERENTE DE ADMINISTRAÇÃO</w:t>
      </w:r>
    </w:p>
    <w:p>
      <w:pPr>
        <w:ind w:firstLine="57"/>
        <w:jc w:val="center"/>
        <w:rPr>
          <w:rFonts w:ascii="Open Sans" w:hAnsi="Open Sans" w:cs="Open Sans"/>
          <w:b/>
          <w:szCs w:val="20"/>
        </w:rPr>
      </w:pPr>
    </w:p>
    <w:p>
      <w:pPr>
        <w:ind w:firstLine="57"/>
        <w:jc w:val="center"/>
        <w:rPr>
          <w:rFonts w:ascii="Open Sans" w:hAnsi="Open Sans" w:cs="Open Sans"/>
          <w:b/>
          <w:szCs w:val="20"/>
        </w:rPr>
      </w:pPr>
    </w:p>
    <w:tbl>
      <w:tblPr>
        <w:tblStyle w:val="17"/>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5" w:hRule="atLeast"/>
          <w:jc w:val="center"/>
        </w:trPr>
        <w:tc>
          <w:tcPr>
            <w:tcW w:w="8504" w:type="dxa"/>
            <w:vAlign w:val="center"/>
          </w:tcPr>
          <w:p>
            <w:pPr>
              <w:snapToGrid w:val="0"/>
              <w:spacing w:line="100" w:lineRule="atLeast"/>
              <w:jc w:val="center"/>
              <w:rPr>
                <w:rFonts w:ascii="Calibri" w:hAnsi="Calibri" w:eastAsia="Ecofont_Spranq_eco_Sans" w:cs="Arial"/>
                <w:b/>
                <w:bCs/>
                <w:color w:val="000000"/>
                <w:szCs w:val="18"/>
              </w:rPr>
            </w:pPr>
            <w:r>
              <w:rPr>
                <w:rFonts w:ascii="Calibri" w:hAnsi="Calibri" w:eastAsia="Ecofont_Spranq_eco_Sans" w:cs="Arial"/>
                <w:b/>
                <w:bCs/>
                <w:color w:val="000000"/>
                <w:szCs w:val="18"/>
              </w:rPr>
              <w:t>APROVAÇÃO DO TERMO DE REFERÊNCIA, COM MOTIVAÇÃO NAS JUSTIFICATIVAS APRESENTADAS.</w:t>
            </w:r>
          </w:p>
          <w:p>
            <w:pPr>
              <w:spacing w:before="280" w:line="100" w:lineRule="atLeast"/>
              <w:jc w:val="center"/>
              <w:rPr>
                <w:rFonts w:ascii="Calibri" w:hAnsi="Calibri" w:eastAsia="Ecofont_Spranq_eco_Sans" w:cs="Arial"/>
                <w:color w:val="000000"/>
                <w:szCs w:val="18"/>
              </w:rPr>
            </w:pPr>
            <w:r>
              <w:rPr>
                <w:rFonts w:ascii="Calibri" w:hAnsi="Calibri" w:eastAsia="Ecofont_Spranq_eco_Sans" w:cs="Arial"/>
                <w:color w:val="000000"/>
                <w:szCs w:val="18"/>
              </w:rPr>
              <w:t>(    ) Aprovado                                  (    ) Não Aprovado</w:t>
            </w:r>
          </w:p>
          <w:p>
            <w:pPr>
              <w:spacing w:before="280" w:line="100" w:lineRule="atLeast"/>
              <w:jc w:val="center"/>
              <w:rPr>
                <w:rFonts w:ascii="Calibri" w:hAnsi="Calibri" w:eastAsia="Ecofont_Spranq_eco_Sans" w:cs="Arial"/>
                <w:color w:val="000000"/>
                <w:szCs w:val="18"/>
              </w:rPr>
            </w:pPr>
            <w:r>
              <w:rPr>
                <w:rFonts w:ascii="Calibri" w:hAnsi="Calibri" w:eastAsia="Ecofont_Spranq_eco_Sans" w:cs="Arial"/>
                <w:color w:val="000000"/>
                <w:szCs w:val="18"/>
              </w:rPr>
              <w:t>Data:          /          /2017</w:t>
            </w:r>
          </w:p>
          <w:p>
            <w:pPr>
              <w:spacing w:before="280" w:line="100" w:lineRule="atLeast"/>
              <w:jc w:val="center"/>
              <w:rPr>
                <w:rFonts w:ascii="Calibri" w:hAnsi="Calibri" w:eastAsia="Ecofont_Spranq_eco_Sans" w:cs="Arial"/>
                <w:color w:val="000000"/>
                <w:szCs w:val="18"/>
              </w:rPr>
            </w:pPr>
          </w:p>
          <w:p>
            <w:pPr>
              <w:spacing w:before="280" w:line="100" w:lineRule="atLeast"/>
              <w:jc w:val="center"/>
              <w:rPr>
                <w:rFonts w:ascii="Calibri" w:hAnsi="Calibri" w:eastAsia="Ecofont_Spranq_eco_Sans" w:cs="Arial"/>
                <w:color w:val="000000"/>
                <w:szCs w:val="18"/>
              </w:rPr>
            </w:pPr>
            <w:r>
              <w:rPr>
                <w:rFonts w:ascii="Calibri" w:hAnsi="Calibri" w:eastAsia="Ecofont_Spranq_eco_Sans" w:cs="Arial"/>
                <w:color w:val="000000"/>
                <w:szCs w:val="18"/>
              </w:rPr>
              <w:t>______________________________</w:t>
            </w:r>
          </w:p>
          <w:p>
            <w:pPr>
              <w:jc w:val="center"/>
              <w:rPr>
                <w:rFonts w:ascii="Calibri" w:hAnsi="Calibri" w:eastAsia="Ecofont_Spranq_eco_Sans" w:cs="Arial"/>
                <w:szCs w:val="18"/>
              </w:rPr>
            </w:pPr>
            <w:r>
              <w:rPr>
                <w:rFonts w:ascii="Calibri" w:hAnsi="Calibri" w:eastAsia="Ecofont_Spranq_eco_Sans" w:cs="Arial"/>
                <w:szCs w:val="18"/>
              </w:rPr>
              <w:t>JOSÉ ROCHA FILHO</w:t>
            </w:r>
          </w:p>
          <w:p>
            <w:pPr>
              <w:jc w:val="center"/>
              <w:rPr>
                <w:rFonts w:ascii="Calibri" w:hAnsi="Calibri" w:eastAsia="Ecofont_Spranq_eco_Sans"/>
                <w:color w:val="000000"/>
                <w:szCs w:val="18"/>
              </w:rPr>
            </w:pPr>
            <w:r>
              <w:rPr>
                <w:rFonts w:ascii="Calibri" w:hAnsi="Calibri" w:eastAsia="Ecofont_Spranq_eco_Sans"/>
                <w:color w:val="000000"/>
                <w:szCs w:val="18"/>
              </w:rPr>
              <w:t>Diretor Geral</w:t>
            </w:r>
          </w:p>
          <w:p>
            <w:pPr>
              <w:jc w:val="center"/>
              <w:rPr>
                <w:rFonts w:ascii="Open Sans" w:hAnsi="Open Sans" w:cs="Open Sans"/>
                <w:szCs w:val="20"/>
              </w:rPr>
            </w:pPr>
          </w:p>
        </w:tc>
      </w:tr>
    </w:tbl>
    <w:p>
      <w:pPr>
        <w:rPr>
          <w:rFonts w:ascii="Open Sans" w:hAnsi="Open Sans" w:cs="Open Sans"/>
          <w:szCs w:val="20"/>
        </w:rPr>
      </w:pPr>
    </w:p>
    <w:sectPr>
      <w:headerReference r:id="rId3" w:type="default"/>
      <w:footerReference r:id="rId4" w:type="default"/>
      <w:pgSz w:w="11906" w:h="16838"/>
      <w:pgMar w:top="1134" w:right="851"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Arial Unicode MS">
    <w:altName w:val="Arial"/>
    <w:panose1 w:val="020B0604020202020204"/>
    <w:charset w:val="00"/>
    <w:family w:val="auto"/>
    <w:pitch w:val="default"/>
    <w:sig w:usb0="00000000" w:usb1="00000000" w:usb2="0000003F" w:usb3="00000000" w:csb0="003F01FF" w:csb1="00000000"/>
  </w:font>
  <w:font w:name="Ecofont_Spranq_eco_Sans">
    <w:altName w:val="MS Gothic"/>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Open Sans">
    <w:panose1 w:val="020B0606030504020204"/>
    <w:charset w:val="00"/>
    <w:family w:val="swiss"/>
    <w:pitch w:val="default"/>
    <w:sig w:usb0="E00002EF" w:usb1="4000205B" w:usb2="00000028"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1"/>
      </w:pBdr>
      <w:spacing w:before="240"/>
      <w:rPr>
        <w:rFonts w:ascii="Open Sans" w:hAnsi="Open Sans" w:cs="Open Sans"/>
        <w:b/>
        <w:sz w:val="16"/>
        <w:szCs w:val="16"/>
      </w:rPr>
    </w:pPr>
  </w:p>
  <w:p>
    <w:pPr>
      <w:jc w:val="center"/>
      <w:rPr>
        <w:rFonts w:ascii="Open Sans" w:hAnsi="Open Sans" w:cs="Open Sans"/>
        <w:sz w:val="16"/>
        <w:szCs w:val="16"/>
      </w:rPr>
    </w:pPr>
    <w:r>
      <w:rPr>
        <w:rFonts w:ascii="Open Sans" w:hAnsi="Open Sans" w:cs="Open Sans"/>
        <w:b/>
        <w:sz w:val="16"/>
        <w:szCs w:val="16"/>
      </w:rPr>
      <w:t xml:space="preserve">Travessa Dr. Augusto César Leite, 165, Bairro Centro, CEP: 49.500-000, Itabaiana/SE </w:t>
    </w:r>
    <w:r>
      <w:rPr>
        <w:rFonts w:ascii="Open Sans" w:hAnsi="Open Sans" w:cs="Open Sans"/>
        <w:b/>
        <w:sz w:val="16"/>
        <w:szCs w:val="16"/>
      </w:rPr>
      <w:br w:type="textWrapping"/>
    </w:r>
    <w:r>
      <w:rPr>
        <w:rFonts w:ascii="Open Sans" w:hAnsi="Open Sans" w:eastAsia="Calibri" w:cs="Open Sans"/>
        <w:b/>
        <w:sz w:val="16"/>
        <w:szCs w:val="16"/>
      </w:rPr>
      <w:t xml:space="preserve">Telefone: (79) 3711-3293, ramal: 3705 | </w:t>
    </w:r>
    <w:r>
      <w:rPr>
        <w:rFonts w:ascii="Open Sans" w:hAnsi="Open Sans" w:eastAsia="Calibri" w:cs="Open Sans"/>
        <w:b/>
        <w:i/>
        <w:sz w:val="16"/>
        <w:szCs w:val="16"/>
      </w:rPr>
      <w:t xml:space="preserve">e-mail: </w:t>
    </w:r>
    <w:r>
      <w:rPr>
        <w:rFonts w:ascii="Open Sans" w:hAnsi="Open Sans" w:cs="Open Sans"/>
        <w:b/>
        <w:sz w:val="16"/>
        <w:szCs w:val="16"/>
      </w:rPr>
      <w:t xml:space="preserve"> </w:t>
    </w:r>
    <w:r>
      <w:fldChar w:fldCharType="begin"/>
    </w:r>
    <w:r>
      <w:instrText xml:space="preserve"> HYPERLINK "mailto:colic.itabaiana@ifs.edu.br" </w:instrText>
    </w:r>
    <w:r>
      <w:fldChar w:fldCharType="separate"/>
    </w:r>
    <w:r>
      <w:rPr>
        <w:rStyle w:val="15"/>
        <w:rFonts w:ascii="Open Sans" w:hAnsi="Open Sans" w:cs="Open Sans"/>
        <w:sz w:val="16"/>
        <w:szCs w:val="16"/>
      </w:rPr>
      <w:t>colic.itabaiana@ifs.edu.br</w:t>
    </w:r>
    <w:r>
      <w:rPr>
        <w:rStyle w:val="15"/>
        <w:rFonts w:ascii="Open Sans" w:hAnsi="Open Sans" w:cs="Open Sans"/>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Ecofont_Spranq_eco_Sans" w:hAnsi="Ecofont_Spranq_eco_Sans"/>
        <w:sz w:val="24"/>
      </w:rPr>
    </w:pPr>
    <w:r>
      <w:rPr>
        <w:rFonts w:ascii="Ecofont_Spranq_eco_Sans" w:hAnsi="Ecofont_Spranq_eco_Sans"/>
        <w:sz w:val="24"/>
      </w:rPr>
      <w:drawing>
        <wp:inline distT="0" distB="0" distL="0" distR="0">
          <wp:extent cx="1093470" cy="10795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3785" cy="1080000"/>
                  </a:xfrm>
                  <a:prstGeom prst="rect">
                    <a:avLst/>
                  </a:prstGeom>
                </pic:spPr>
              </pic:pic>
            </a:graphicData>
          </a:graphic>
        </wp:inline>
      </w:drawing>
    </w:r>
  </w:p>
  <w:p>
    <w:pPr>
      <w:jc w:val="center"/>
      <w:rPr>
        <w:rFonts w:ascii="Open Sans" w:hAnsi="Open Sans" w:cs="Open Sans"/>
        <w:b/>
        <w:sz w:val="22"/>
      </w:rPr>
    </w:pPr>
    <w:r>
      <w:rPr>
        <w:rFonts w:ascii="Open Sans" w:hAnsi="Open Sans" w:cs="Open Sans"/>
        <w:b/>
        <w:sz w:val="24"/>
      </w:rPr>
      <w:t>MINISTÉRIO DA EDUCAÇÃO</w:t>
    </w:r>
  </w:p>
  <w:p>
    <w:pPr>
      <w:jc w:val="center"/>
      <w:rPr>
        <w:rFonts w:ascii="Open Sans" w:hAnsi="Open Sans" w:cs="Open Sans"/>
        <w:b/>
        <w:sz w:val="22"/>
      </w:rPr>
    </w:pPr>
    <w:r>
      <w:rPr>
        <w:rFonts w:ascii="Open Sans" w:hAnsi="Open Sans" w:cs="Open Sans"/>
        <w:b/>
        <w:sz w:val="22"/>
      </w:rPr>
      <w:t>SECRETARIA DE EDUCAÇÃO PROFISSIONAL E TECNOLÓGICA</w:t>
    </w:r>
  </w:p>
  <w:p>
    <w:pPr>
      <w:jc w:val="center"/>
      <w:rPr>
        <w:rFonts w:ascii="Open Sans" w:hAnsi="Open Sans" w:cs="Open Sans"/>
        <w:b/>
        <w:sz w:val="22"/>
      </w:rPr>
    </w:pPr>
    <w:r>
      <w:rPr>
        <w:rFonts w:ascii="Open Sans" w:hAnsi="Open Sans" w:cs="Open Sans"/>
        <w:b/>
      </w:rPr>
      <w:t>INSTITUTO FEDERAL DE EDUCAÇÃO, CIÊNCIA E TECNOLOGIA DE SERGIPE</w:t>
    </w:r>
  </w:p>
  <w:p>
    <w:pPr>
      <w:spacing w:after="240"/>
      <w:jc w:val="center"/>
      <w:rPr>
        <w:rFonts w:ascii="Open Sans" w:hAnsi="Open Sans" w:cs="Open Sans"/>
        <w:b/>
        <w:sz w:val="2"/>
      </w:rPr>
    </w:pPr>
    <w:r>
      <w:rPr>
        <w:rFonts w:ascii="Open Sans" w:hAnsi="Open Sans" w:cs="Open Sans"/>
        <w:b/>
        <w:i/>
        <w:sz w:val="18"/>
      </w:rPr>
      <w:t xml:space="preserve">CAMPUS </w:t>
    </w:r>
    <w:r>
      <w:rPr>
        <w:rFonts w:ascii="Open Sans" w:hAnsi="Open Sans" w:cs="Open Sans"/>
        <w:b/>
        <w:sz w:val="18"/>
      </w:rPr>
      <w:t>ITABAIANA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6"/>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2"/>
      <w:lvlText w:val="%1."/>
      <w:lvlJc w:val="left"/>
      <w:pPr>
        <w:ind w:left="360" w:hanging="360"/>
      </w:pPr>
      <w:rPr>
        <w:b/>
      </w:rPr>
    </w:lvl>
    <w:lvl w:ilvl="1" w:tentative="0">
      <w:start w:val="1"/>
      <w:numFmt w:val="decimal"/>
      <w:lvlText w:val="%1.%2."/>
      <w:lvlJc w:val="left"/>
      <w:pPr>
        <w:ind w:left="574" w:hanging="432"/>
      </w:pPr>
      <w:rPr>
        <w:b/>
        <w:i w:val="0"/>
        <w:color w:val="auto"/>
      </w:rPr>
    </w:lvl>
    <w:lvl w:ilvl="2" w:tentative="0">
      <w:start w:val="1"/>
      <w:numFmt w:val="decimal"/>
      <w:lvlText w:val="%1.%2.%3."/>
      <w:lvlJc w:val="left"/>
      <w:pPr>
        <w:ind w:left="1224" w:hanging="504"/>
      </w:pPr>
      <w:rPr>
        <w:b/>
        <w:i w:val="0"/>
        <w:color w:val="auto"/>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6433"/>
    <w:rsid w:val="00060414"/>
    <w:rsid w:val="00062853"/>
    <w:rsid w:val="00062C9B"/>
    <w:rsid w:val="00062FD0"/>
    <w:rsid w:val="00063CC2"/>
    <w:rsid w:val="0006537A"/>
    <w:rsid w:val="000670EC"/>
    <w:rsid w:val="000677A2"/>
    <w:rsid w:val="00070EA5"/>
    <w:rsid w:val="00073282"/>
    <w:rsid w:val="00076CBC"/>
    <w:rsid w:val="00077469"/>
    <w:rsid w:val="000779C7"/>
    <w:rsid w:val="00081098"/>
    <w:rsid w:val="000872CD"/>
    <w:rsid w:val="00087EF2"/>
    <w:rsid w:val="00090F5D"/>
    <w:rsid w:val="00092759"/>
    <w:rsid w:val="00094321"/>
    <w:rsid w:val="000A038D"/>
    <w:rsid w:val="000A102A"/>
    <w:rsid w:val="000A1A7B"/>
    <w:rsid w:val="000A1B88"/>
    <w:rsid w:val="000A23DA"/>
    <w:rsid w:val="000A330D"/>
    <w:rsid w:val="000A674F"/>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4990"/>
    <w:rsid w:val="00124BB7"/>
    <w:rsid w:val="00124FA4"/>
    <w:rsid w:val="001304C0"/>
    <w:rsid w:val="001315F2"/>
    <w:rsid w:val="0013341B"/>
    <w:rsid w:val="0014004B"/>
    <w:rsid w:val="0014325E"/>
    <w:rsid w:val="00146BDF"/>
    <w:rsid w:val="001516EA"/>
    <w:rsid w:val="00151DF3"/>
    <w:rsid w:val="00153E25"/>
    <w:rsid w:val="00154505"/>
    <w:rsid w:val="0015684D"/>
    <w:rsid w:val="00160BBD"/>
    <w:rsid w:val="00160DA4"/>
    <w:rsid w:val="0016584A"/>
    <w:rsid w:val="00170CE1"/>
    <w:rsid w:val="00174CAA"/>
    <w:rsid w:val="00177CD5"/>
    <w:rsid w:val="00180C9C"/>
    <w:rsid w:val="001817D2"/>
    <w:rsid w:val="00184086"/>
    <w:rsid w:val="001904A8"/>
    <w:rsid w:val="00190F0D"/>
    <w:rsid w:val="001A1732"/>
    <w:rsid w:val="001A2CE9"/>
    <w:rsid w:val="001A3A05"/>
    <w:rsid w:val="001A3E18"/>
    <w:rsid w:val="001A425B"/>
    <w:rsid w:val="001B005B"/>
    <w:rsid w:val="001C1001"/>
    <w:rsid w:val="001C3B1B"/>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B05BB"/>
    <w:rsid w:val="002C50DF"/>
    <w:rsid w:val="002C54C1"/>
    <w:rsid w:val="002D78B4"/>
    <w:rsid w:val="002D7C8E"/>
    <w:rsid w:val="002E160F"/>
    <w:rsid w:val="002E3F91"/>
    <w:rsid w:val="002E480D"/>
    <w:rsid w:val="002E5F6B"/>
    <w:rsid w:val="002F084D"/>
    <w:rsid w:val="002F308B"/>
    <w:rsid w:val="003022D4"/>
    <w:rsid w:val="00306776"/>
    <w:rsid w:val="00310B4A"/>
    <w:rsid w:val="003238C3"/>
    <w:rsid w:val="00324BCD"/>
    <w:rsid w:val="00324F30"/>
    <w:rsid w:val="00325023"/>
    <w:rsid w:val="00325FD8"/>
    <w:rsid w:val="003265B9"/>
    <w:rsid w:val="00327232"/>
    <w:rsid w:val="00331182"/>
    <w:rsid w:val="00340EE0"/>
    <w:rsid w:val="00343032"/>
    <w:rsid w:val="00352D2C"/>
    <w:rsid w:val="0035424A"/>
    <w:rsid w:val="0035658A"/>
    <w:rsid w:val="00364141"/>
    <w:rsid w:val="00367EF6"/>
    <w:rsid w:val="00373F2A"/>
    <w:rsid w:val="003779A2"/>
    <w:rsid w:val="0038139C"/>
    <w:rsid w:val="00381D92"/>
    <w:rsid w:val="00386157"/>
    <w:rsid w:val="00386ADE"/>
    <w:rsid w:val="00391E14"/>
    <w:rsid w:val="003959F6"/>
    <w:rsid w:val="003A73C1"/>
    <w:rsid w:val="003B2F96"/>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4B9"/>
    <w:rsid w:val="004535A3"/>
    <w:rsid w:val="00453B1D"/>
    <w:rsid w:val="00455CBE"/>
    <w:rsid w:val="00455EB7"/>
    <w:rsid w:val="00455FD5"/>
    <w:rsid w:val="00460E8A"/>
    <w:rsid w:val="0046230A"/>
    <w:rsid w:val="00462C95"/>
    <w:rsid w:val="0046486A"/>
    <w:rsid w:val="00473A3D"/>
    <w:rsid w:val="004773FC"/>
    <w:rsid w:val="00477FB8"/>
    <w:rsid w:val="00480328"/>
    <w:rsid w:val="00480DA5"/>
    <w:rsid w:val="00481A64"/>
    <w:rsid w:val="004834FC"/>
    <w:rsid w:val="00483B15"/>
    <w:rsid w:val="00483FB9"/>
    <w:rsid w:val="00486F7A"/>
    <w:rsid w:val="00491452"/>
    <w:rsid w:val="0049465E"/>
    <w:rsid w:val="00494AE7"/>
    <w:rsid w:val="004A030A"/>
    <w:rsid w:val="004B05B0"/>
    <w:rsid w:val="004B0CAC"/>
    <w:rsid w:val="004B19B5"/>
    <w:rsid w:val="004B1D7D"/>
    <w:rsid w:val="004B460A"/>
    <w:rsid w:val="004C0212"/>
    <w:rsid w:val="004C05F9"/>
    <w:rsid w:val="004D087F"/>
    <w:rsid w:val="004D35E2"/>
    <w:rsid w:val="004D41A0"/>
    <w:rsid w:val="004D551E"/>
    <w:rsid w:val="004E0194"/>
    <w:rsid w:val="004E6184"/>
    <w:rsid w:val="004F1471"/>
    <w:rsid w:val="004F5DF9"/>
    <w:rsid w:val="004F66B4"/>
    <w:rsid w:val="004F78C6"/>
    <w:rsid w:val="0050224C"/>
    <w:rsid w:val="00503208"/>
    <w:rsid w:val="005037A6"/>
    <w:rsid w:val="00512D53"/>
    <w:rsid w:val="00514883"/>
    <w:rsid w:val="0053132E"/>
    <w:rsid w:val="00534EBF"/>
    <w:rsid w:val="00536105"/>
    <w:rsid w:val="00546070"/>
    <w:rsid w:val="00553BF9"/>
    <w:rsid w:val="00561C04"/>
    <w:rsid w:val="0056213B"/>
    <w:rsid w:val="00562F82"/>
    <w:rsid w:val="00564222"/>
    <w:rsid w:val="00564913"/>
    <w:rsid w:val="0057203C"/>
    <w:rsid w:val="005800D8"/>
    <w:rsid w:val="005846C9"/>
    <w:rsid w:val="005873FC"/>
    <w:rsid w:val="00590EAF"/>
    <w:rsid w:val="00595DA6"/>
    <w:rsid w:val="005A6A91"/>
    <w:rsid w:val="005B0043"/>
    <w:rsid w:val="005B0066"/>
    <w:rsid w:val="005C3930"/>
    <w:rsid w:val="005C76D8"/>
    <w:rsid w:val="005E1321"/>
    <w:rsid w:val="005E2DD4"/>
    <w:rsid w:val="005E412D"/>
    <w:rsid w:val="005E4CDC"/>
    <w:rsid w:val="005E6D43"/>
    <w:rsid w:val="005E6FE0"/>
    <w:rsid w:val="005F64F4"/>
    <w:rsid w:val="005F6F64"/>
    <w:rsid w:val="005F7B0A"/>
    <w:rsid w:val="00600604"/>
    <w:rsid w:val="00605C11"/>
    <w:rsid w:val="00606440"/>
    <w:rsid w:val="006078C2"/>
    <w:rsid w:val="00613DC5"/>
    <w:rsid w:val="006171A9"/>
    <w:rsid w:val="00623436"/>
    <w:rsid w:val="00625193"/>
    <w:rsid w:val="00640F39"/>
    <w:rsid w:val="00655AAF"/>
    <w:rsid w:val="00656A30"/>
    <w:rsid w:val="00662AC4"/>
    <w:rsid w:val="006637CD"/>
    <w:rsid w:val="006673E7"/>
    <w:rsid w:val="00674964"/>
    <w:rsid w:val="00680B7E"/>
    <w:rsid w:val="00683B94"/>
    <w:rsid w:val="006861C9"/>
    <w:rsid w:val="00686692"/>
    <w:rsid w:val="00693033"/>
    <w:rsid w:val="00693321"/>
    <w:rsid w:val="00694893"/>
    <w:rsid w:val="00694DD9"/>
    <w:rsid w:val="006A12B1"/>
    <w:rsid w:val="006A14BB"/>
    <w:rsid w:val="006A1642"/>
    <w:rsid w:val="006A3536"/>
    <w:rsid w:val="006A5F42"/>
    <w:rsid w:val="006A6103"/>
    <w:rsid w:val="006B10ED"/>
    <w:rsid w:val="006B156A"/>
    <w:rsid w:val="006B4F18"/>
    <w:rsid w:val="006B51B2"/>
    <w:rsid w:val="006C17A0"/>
    <w:rsid w:val="006C755F"/>
    <w:rsid w:val="006D27E3"/>
    <w:rsid w:val="006D3F97"/>
    <w:rsid w:val="006D4135"/>
    <w:rsid w:val="006E0448"/>
    <w:rsid w:val="006E09F2"/>
    <w:rsid w:val="006E1021"/>
    <w:rsid w:val="006E721C"/>
    <w:rsid w:val="006F3EE2"/>
    <w:rsid w:val="006F6196"/>
    <w:rsid w:val="00700CBD"/>
    <w:rsid w:val="0070207F"/>
    <w:rsid w:val="007028C7"/>
    <w:rsid w:val="00704462"/>
    <w:rsid w:val="00710C7E"/>
    <w:rsid w:val="00714E7C"/>
    <w:rsid w:val="0073044F"/>
    <w:rsid w:val="00732294"/>
    <w:rsid w:val="00733DE0"/>
    <w:rsid w:val="007357C5"/>
    <w:rsid w:val="00736C27"/>
    <w:rsid w:val="0074032D"/>
    <w:rsid w:val="00740D25"/>
    <w:rsid w:val="00741328"/>
    <w:rsid w:val="0075531C"/>
    <w:rsid w:val="00756F76"/>
    <w:rsid w:val="00761FF6"/>
    <w:rsid w:val="007679B9"/>
    <w:rsid w:val="0077024E"/>
    <w:rsid w:val="00771167"/>
    <w:rsid w:val="00775F02"/>
    <w:rsid w:val="00776572"/>
    <w:rsid w:val="00776D50"/>
    <w:rsid w:val="0077738D"/>
    <w:rsid w:val="007774C2"/>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3805"/>
    <w:rsid w:val="0080582D"/>
    <w:rsid w:val="00806D9B"/>
    <w:rsid w:val="0080756C"/>
    <w:rsid w:val="00812ACB"/>
    <w:rsid w:val="008147F8"/>
    <w:rsid w:val="00821930"/>
    <w:rsid w:val="00821B3A"/>
    <w:rsid w:val="00831204"/>
    <w:rsid w:val="00831208"/>
    <w:rsid w:val="00835A02"/>
    <w:rsid w:val="00841504"/>
    <w:rsid w:val="008429CF"/>
    <w:rsid w:val="008446E2"/>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4DF"/>
    <w:rsid w:val="008A580D"/>
    <w:rsid w:val="008B6162"/>
    <w:rsid w:val="008C04DF"/>
    <w:rsid w:val="008C1971"/>
    <w:rsid w:val="008C1AF7"/>
    <w:rsid w:val="008C3BCC"/>
    <w:rsid w:val="008C57D5"/>
    <w:rsid w:val="008D0EE5"/>
    <w:rsid w:val="008D2CAF"/>
    <w:rsid w:val="008D3A48"/>
    <w:rsid w:val="008D3ACE"/>
    <w:rsid w:val="008D3E2E"/>
    <w:rsid w:val="008D51CC"/>
    <w:rsid w:val="008E1D57"/>
    <w:rsid w:val="008E4F95"/>
    <w:rsid w:val="008E5183"/>
    <w:rsid w:val="008F4D52"/>
    <w:rsid w:val="008F4E41"/>
    <w:rsid w:val="008F73D4"/>
    <w:rsid w:val="00901CB5"/>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197D"/>
    <w:rsid w:val="009623AB"/>
    <w:rsid w:val="00970053"/>
    <w:rsid w:val="00970A6B"/>
    <w:rsid w:val="009763C4"/>
    <w:rsid w:val="00976FDD"/>
    <w:rsid w:val="009803F1"/>
    <w:rsid w:val="0098266E"/>
    <w:rsid w:val="009844F7"/>
    <w:rsid w:val="009906A3"/>
    <w:rsid w:val="0099079E"/>
    <w:rsid w:val="00995FFD"/>
    <w:rsid w:val="0099791C"/>
    <w:rsid w:val="009A1099"/>
    <w:rsid w:val="009A45B0"/>
    <w:rsid w:val="009A4DEE"/>
    <w:rsid w:val="009A6A6F"/>
    <w:rsid w:val="009B1B69"/>
    <w:rsid w:val="009C470D"/>
    <w:rsid w:val="009C638B"/>
    <w:rsid w:val="009D3626"/>
    <w:rsid w:val="009D68FB"/>
    <w:rsid w:val="009D7EDF"/>
    <w:rsid w:val="009E04B3"/>
    <w:rsid w:val="009E0DFC"/>
    <w:rsid w:val="009E377E"/>
    <w:rsid w:val="009E428C"/>
    <w:rsid w:val="009E5B74"/>
    <w:rsid w:val="009E7C14"/>
    <w:rsid w:val="009F0234"/>
    <w:rsid w:val="009F419C"/>
    <w:rsid w:val="009F43E0"/>
    <w:rsid w:val="00A055A5"/>
    <w:rsid w:val="00A1117E"/>
    <w:rsid w:val="00A12A7C"/>
    <w:rsid w:val="00A1330E"/>
    <w:rsid w:val="00A25E48"/>
    <w:rsid w:val="00A3644B"/>
    <w:rsid w:val="00A402A1"/>
    <w:rsid w:val="00A44175"/>
    <w:rsid w:val="00A4565E"/>
    <w:rsid w:val="00A47893"/>
    <w:rsid w:val="00A50D22"/>
    <w:rsid w:val="00A512C3"/>
    <w:rsid w:val="00A53390"/>
    <w:rsid w:val="00A571FE"/>
    <w:rsid w:val="00A60395"/>
    <w:rsid w:val="00A6183D"/>
    <w:rsid w:val="00A6287E"/>
    <w:rsid w:val="00A63B1B"/>
    <w:rsid w:val="00A77C2C"/>
    <w:rsid w:val="00A80062"/>
    <w:rsid w:val="00A856EB"/>
    <w:rsid w:val="00A9022E"/>
    <w:rsid w:val="00A90577"/>
    <w:rsid w:val="00A914E1"/>
    <w:rsid w:val="00A91861"/>
    <w:rsid w:val="00A937EA"/>
    <w:rsid w:val="00A96322"/>
    <w:rsid w:val="00AA1165"/>
    <w:rsid w:val="00AA3F31"/>
    <w:rsid w:val="00AA4625"/>
    <w:rsid w:val="00AB099E"/>
    <w:rsid w:val="00AB1F1A"/>
    <w:rsid w:val="00AC4F34"/>
    <w:rsid w:val="00AC6401"/>
    <w:rsid w:val="00AC6EC2"/>
    <w:rsid w:val="00AE3A63"/>
    <w:rsid w:val="00AE5435"/>
    <w:rsid w:val="00AF3ABE"/>
    <w:rsid w:val="00AF61CB"/>
    <w:rsid w:val="00AF6959"/>
    <w:rsid w:val="00AF76BB"/>
    <w:rsid w:val="00B00520"/>
    <w:rsid w:val="00B00F8E"/>
    <w:rsid w:val="00B014D0"/>
    <w:rsid w:val="00B025B6"/>
    <w:rsid w:val="00B03CB0"/>
    <w:rsid w:val="00B041A9"/>
    <w:rsid w:val="00B0465E"/>
    <w:rsid w:val="00B1218F"/>
    <w:rsid w:val="00B13262"/>
    <w:rsid w:val="00B14C20"/>
    <w:rsid w:val="00B16238"/>
    <w:rsid w:val="00B23F8B"/>
    <w:rsid w:val="00B27724"/>
    <w:rsid w:val="00B30F3D"/>
    <w:rsid w:val="00B432A0"/>
    <w:rsid w:val="00B4738B"/>
    <w:rsid w:val="00B50E09"/>
    <w:rsid w:val="00B517F7"/>
    <w:rsid w:val="00B52AFC"/>
    <w:rsid w:val="00B52EFE"/>
    <w:rsid w:val="00B54C1E"/>
    <w:rsid w:val="00B55E5A"/>
    <w:rsid w:val="00B60DCA"/>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2A9"/>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B28"/>
    <w:rsid w:val="00BF0D5C"/>
    <w:rsid w:val="00BF0E8E"/>
    <w:rsid w:val="00BF1A7F"/>
    <w:rsid w:val="00C00F37"/>
    <w:rsid w:val="00C03F51"/>
    <w:rsid w:val="00C10CC7"/>
    <w:rsid w:val="00C13225"/>
    <w:rsid w:val="00C14C86"/>
    <w:rsid w:val="00C229F8"/>
    <w:rsid w:val="00C25803"/>
    <w:rsid w:val="00C26FD3"/>
    <w:rsid w:val="00C322F1"/>
    <w:rsid w:val="00C33284"/>
    <w:rsid w:val="00C371FA"/>
    <w:rsid w:val="00C4251D"/>
    <w:rsid w:val="00C44F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1A6A"/>
    <w:rsid w:val="00CA6108"/>
    <w:rsid w:val="00CB54CD"/>
    <w:rsid w:val="00CB766B"/>
    <w:rsid w:val="00CC356D"/>
    <w:rsid w:val="00CD109D"/>
    <w:rsid w:val="00CD1E9D"/>
    <w:rsid w:val="00CD6ABB"/>
    <w:rsid w:val="00CE5CF2"/>
    <w:rsid w:val="00D00A5D"/>
    <w:rsid w:val="00D00A87"/>
    <w:rsid w:val="00D02F2F"/>
    <w:rsid w:val="00D10078"/>
    <w:rsid w:val="00D13087"/>
    <w:rsid w:val="00D139AB"/>
    <w:rsid w:val="00D16FA0"/>
    <w:rsid w:val="00D241FF"/>
    <w:rsid w:val="00D25D36"/>
    <w:rsid w:val="00D26DCE"/>
    <w:rsid w:val="00D3362B"/>
    <w:rsid w:val="00D41AF6"/>
    <w:rsid w:val="00D5130A"/>
    <w:rsid w:val="00D51769"/>
    <w:rsid w:val="00D522D8"/>
    <w:rsid w:val="00D5491C"/>
    <w:rsid w:val="00D554E8"/>
    <w:rsid w:val="00D5748E"/>
    <w:rsid w:val="00D612A9"/>
    <w:rsid w:val="00D61896"/>
    <w:rsid w:val="00D66935"/>
    <w:rsid w:val="00D7758F"/>
    <w:rsid w:val="00D77D52"/>
    <w:rsid w:val="00D80021"/>
    <w:rsid w:val="00D8724C"/>
    <w:rsid w:val="00D938C1"/>
    <w:rsid w:val="00DA30CA"/>
    <w:rsid w:val="00DA47A8"/>
    <w:rsid w:val="00DB3592"/>
    <w:rsid w:val="00DB42BA"/>
    <w:rsid w:val="00DB4C93"/>
    <w:rsid w:val="00DC3F8A"/>
    <w:rsid w:val="00DD0070"/>
    <w:rsid w:val="00DD46E9"/>
    <w:rsid w:val="00DD4CEA"/>
    <w:rsid w:val="00DE0D00"/>
    <w:rsid w:val="00DE16CD"/>
    <w:rsid w:val="00DE6492"/>
    <w:rsid w:val="00DE7070"/>
    <w:rsid w:val="00DF280B"/>
    <w:rsid w:val="00DF2853"/>
    <w:rsid w:val="00DF28B7"/>
    <w:rsid w:val="00DF4E63"/>
    <w:rsid w:val="00DF68C0"/>
    <w:rsid w:val="00DF7F5A"/>
    <w:rsid w:val="00E00FFD"/>
    <w:rsid w:val="00E015A8"/>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28AD"/>
    <w:rsid w:val="00E64339"/>
    <w:rsid w:val="00E677BD"/>
    <w:rsid w:val="00E70C44"/>
    <w:rsid w:val="00E72B6E"/>
    <w:rsid w:val="00E810EF"/>
    <w:rsid w:val="00E8114B"/>
    <w:rsid w:val="00E872A7"/>
    <w:rsid w:val="00E936F7"/>
    <w:rsid w:val="00E94BFB"/>
    <w:rsid w:val="00EA19E9"/>
    <w:rsid w:val="00EA29F6"/>
    <w:rsid w:val="00EA2C11"/>
    <w:rsid w:val="00EA369D"/>
    <w:rsid w:val="00EA411E"/>
    <w:rsid w:val="00EA442D"/>
    <w:rsid w:val="00EA641F"/>
    <w:rsid w:val="00EA6A5A"/>
    <w:rsid w:val="00EB19E0"/>
    <w:rsid w:val="00EB5A80"/>
    <w:rsid w:val="00EC07DD"/>
    <w:rsid w:val="00EC0D7C"/>
    <w:rsid w:val="00EC3652"/>
    <w:rsid w:val="00EC7482"/>
    <w:rsid w:val="00EC7F14"/>
    <w:rsid w:val="00ED0420"/>
    <w:rsid w:val="00ED1B50"/>
    <w:rsid w:val="00ED66F9"/>
    <w:rsid w:val="00ED6AD9"/>
    <w:rsid w:val="00ED7D4E"/>
    <w:rsid w:val="00EE220A"/>
    <w:rsid w:val="00EE2853"/>
    <w:rsid w:val="00EF5D36"/>
    <w:rsid w:val="00EF66FC"/>
    <w:rsid w:val="00EF7D88"/>
    <w:rsid w:val="00F00D14"/>
    <w:rsid w:val="00F0135B"/>
    <w:rsid w:val="00F02E73"/>
    <w:rsid w:val="00F10140"/>
    <w:rsid w:val="00F11BAF"/>
    <w:rsid w:val="00F11CE3"/>
    <w:rsid w:val="00F16FDF"/>
    <w:rsid w:val="00F17DCE"/>
    <w:rsid w:val="00F22750"/>
    <w:rsid w:val="00F23752"/>
    <w:rsid w:val="00F23CA1"/>
    <w:rsid w:val="00F2401A"/>
    <w:rsid w:val="00F250DB"/>
    <w:rsid w:val="00F2646F"/>
    <w:rsid w:val="00F27CBF"/>
    <w:rsid w:val="00F27E65"/>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62D5"/>
    <w:rsid w:val="00FC7065"/>
    <w:rsid w:val="00FD053E"/>
    <w:rsid w:val="00FD0A3A"/>
    <w:rsid w:val="00FD16AF"/>
    <w:rsid w:val="00FD1F4D"/>
    <w:rsid w:val="00FD2A3E"/>
    <w:rsid w:val="00FD7077"/>
    <w:rsid w:val="00FE3722"/>
    <w:rsid w:val="00FE5BBC"/>
    <w:rsid w:val="00FF15BD"/>
    <w:rsid w:val="00FF507F"/>
    <w:rsid w:val="00FF649E"/>
    <w:rsid w:val="00FF6FE3"/>
    <w:rsid w:val="00FF78E5"/>
    <w:rsid w:val="267D7CC4"/>
    <w:rsid w:val="3B521019"/>
  </w:rsids>
  <m:mathPr>
    <m:lMargin m:val="0"/>
    <m:mathFont m:val="Cambria Math"/>
    <m:rMargin m:val="0"/>
    <m:wrapIndent m:val="1440"/>
    <m:brkBin m:val="before"/>
    <m:brkBinSub m:val="--"/>
    <m:defJc m:val="centerGroup"/>
    <m:intLim m:val="subSup"/>
    <m:naryLim m:val="undOvr"/>
    <m:smallFrac m:val="0"/>
    <m:dispDef/>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qFormat="1" w:uiPriority="99"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atentStyles>
  <w:style w:type="paragraph" w:default="1" w:styleId="1">
    <w:name w:val="Normal"/>
    <w:qFormat/>
    <w:uiPriority w:val="0"/>
    <w:rPr>
      <w:rFonts w:ascii="Arial" w:hAnsi="Arial" w:eastAsia="Times New Roman" w:cs="Tahoma"/>
      <w:szCs w:val="24"/>
      <w:lang w:val="pt-BR" w:eastAsia="pt-BR" w:bidi="ar-SA"/>
    </w:rPr>
  </w:style>
  <w:style w:type="paragraph" w:styleId="2">
    <w:name w:val="heading 1"/>
    <w:basedOn w:val="1"/>
    <w:next w:val="1"/>
    <w:link w:val="33"/>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0"/>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37"/>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5"/>
    <w:unhideWhenUsed/>
    <w:qFormat/>
    <w:uiPriority w:val="0"/>
    <w:rPr>
      <w:sz w:val="24"/>
    </w:rPr>
  </w:style>
  <w:style w:type="paragraph" w:styleId="6">
    <w:name w:val="List Bullet 5"/>
    <w:basedOn w:val="1"/>
    <w:qFormat/>
    <w:uiPriority w:val="0"/>
    <w:pPr>
      <w:numPr>
        <w:ilvl w:val="0"/>
        <w:numId w:val="1"/>
      </w:numPr>
      <w:contextualSpacing/>
    </w:pPr>
  </w:style>
  <w:style w:type="paragraph" w:styleId="7">
    <w:name w:val="Normal (Web)"/>
    <w:basedOn w:val="1"/>
    <w:qFormat/>
    <w:uiPriority w:val="99"/>
    <w:pPr>
      <w:spacing w:before="100" w:beforeAutospacing="1" w:after="100" w:afterAutospacing="1"/>
    </w:pPr>
    <w:rPr>
      <w:rFonts w:ascii="Times New Roman" w:hAnsi="Times New Roman" w:cs="Times New Roman"/>
    </w:rPr>
  </w:style>
  <w:style w:type="paragraph" w:styleId="8">
    <w:name w:val="header"/>
    <w:basedOn w:val="1"/>
    <w:link w:val="30"/>
    <w:unhideWhenUsed/>
    <w:qFormat/>
    <w:uiPriority w:val="0"/>
    <w:pPr>
      <w:tabs>
        <w:tab w:val="center" w:pos="4252"/>
        <w:tab w:val="right" w:pos="8504"/>
      </w:tabs>
    </w:pPr>
  </w:style>
  <w:style w:type="paragraph" w:styleId="9">
    <w:name w:val="annotation subject"/>
    <w:basedOn w:val="5"/>
    <w:next w:val="5"/>
    <w:link w:val="36"/>
    <w:unhideWhenUsed/>
    <w:qFormat/>
    <w:uiPriority w:val="0"/>
    <w:rPr>
      <w:b/>
      <w:bCs/>
      <w:sz w:val="20"/>
      <w:szCs w:val="20"/>
    </w:rPr>
  </w:style>
  <w:style w:type="paragraph" w:styleId="10">
    <w:name w:val="footer"/>
    <w:basedOn w:val="1"/>
    <w:link w:val="31"/>
    <w:unhideWhenUsed/>
    <w:qFormat/>
    <w:uiPriority w:val="99"/>
    <w:pPr>
      <w:tabs>
        <w:tab w:val="center" w:pos="4252"/>
        <w:tab w:val="right" w:pos="8504"/>
      </w:tabs>
    </w:pPr>
  </w:style>
  <w:style w:type="paragraph" w:styleId="11">
    <w:name w:val="HTML Address"/>
    <w:basedOn w:val="1"/>
    <w:link w:val="38"/>
    <w:unhideWhenUsed/>
    <w:qFormat/>
    <w:uiPriority w:val="99"/>
    <w:rPr>
      <w:rFonts w:ascii="Times New Roman" w:hAnsi="Times New Roman" w:cs="Times New Roman"/>
      <w:i/>
      <w:iCs/>
      <w:sz w:val="24"/>
    </w:rPr>
  </w:style>
  <w:style w:type="paragraph" w:styleId="12">
    <w:name w:val="Balloon Text"/>
    <w:basedOn w:val="1"/>
    <w:link w:val="19"/>
    <w:qFormat/>
    <w:uiPriority w:val="0"/>
    <w:rPr>
      <w:rFonts w:ascii="Tahoma" w:hAnsi="Tahoma"/>
      <w:sz w:val="16"/>
      <w:szCs w:val="16"/>
    </w:rPr>
  </w:style>
  <w:style w:type="character" w:styleId="14">
    <w:name w:val="annotation reference"/>
    <w:basedOn w:val="13"/>
    <w:unhideWhenUsed/>
    <w:qFormat/>
    <w:uiPriority w:val="0"/>
    <w:rPr>
      <w:sz w:val="18"/>
      <w:szCs w:val="18"/>
    </w:rPr>
  </w:style>
  <w:style w:type="character" w:styleId="15">
    <w:name w:val="Hyperlink"/>
    <w:qFormat/>
    <w:uiPriority w:val="0"/>
    <w:rPr>
      <w:color w:val="000080"/>
      <w:u w:val="single"/>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List Paragraph"/>
    <w:basedOn w:val="1"/>
    <w:qFormat/>
    <w:uiPriority w:val="34"/>
    <w:pPr>
      <w:ind w:left="720"/>
      <w:contextualSpacing/>
    </w:pPr>
  </w:style>
  <w:style w:type="character" w:customStyle="1" w:styleId="19">
    <w:name w:val="Texto de balão Char"/>
    <w:link w:val="12"/>
    <w:qFormat/>
    <w:uiPriority w:val="0"/>
    <w:rPr>
      <w:rFonts w:ascii="Tahoma" w:hAnsi="Tahoma" w:cs="Tahoma"/>
      <w:sz w:val="16"/>
      <w:szCs w:val="16"/>
    </w:rPr>
  </w:style>
  <w:style w:type="character" w:customStyle="1" w:styleId="20">
    <w:name w:val="Título 2 Char"/>
    <w:link w:val="3"/>
    <w:qFormat/>
    <w:uiPriority w:val="0"/>
    <w:rPr>
      <w:b/>
      <w:color w:val="000000"/>
      <w:sz w:val="24"/>
    </w:rPr>
  </w:style>
  <w:style w:type="paragraph" w:customStyle="1" w:styleId="21">
    <w:name w:val="Nível 2"/>
    <w:basedOn w:val="1"/>
    <w:next w:val="1"/>
    <w:qFormat/>
    <w:uiPriority w:val="0"/>
    <w:pPr>
      <w:spacing w:after="120"/>
      <w:jc w:val="both"/>
    </w:pPr>
    <w:rPr>
      <w:rFonts w:cs="Times New Roman"/>
      <w:b/>
      <w:szCs w:val="20"/>
    </w:rPr>
  </w:style>
  <w:style w:type="character" w:customStyle="1" w:styleId="22">
    <w:name w:val="normal__char1"/>
    <w:qFormat/>
    <w:uiPriority w:val="0"/>
    <w:rPr>
      <w:rFonts w:hint="default" w:ascii="Arial" w:hAnsi="Arial" w:cs="Arial"/>
      <w:sz w:val="24"/>
      <w:szCs w:val="24"/>
      <w:u w:val="none"/>
    </w:rPr>
  </w:style>
  <w:style w:type="character" w:customStyle="1" w:styleId="23">
    <w:name w:val="apple-style-span"/>
    <w:basedOn w:val="13"/>
    <w:qFormat/>
    <w:uiPriority w:val="0"/>
  </w:style>
  <w:style w:type="paragraph" w:customStyle="1" w:styleId="24">
    <w:name w:val="Quote"/>
    <w:basedOn w:val="1"/>
    <w:next w:val="1"/>
    <w:link w:val="2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lang w:eastAsia="en-US"/>
    </w:rPr>
  </w:style>
  <w:style w:type="character" w:customStyle="1" w:styleId="25">
    <w:name w:val="Citação Char"/>
    <w:link w:val="24"/>
    <w:qFormat/>
    <w:uiPriority w:val="29"/>
    <w:rPr>
      <w:rFonts w:ascii="Ecofont_Spranq_eco_Sans" w:hAnsi="Ecofont_Spranq_eco_Sans" w:eastAsia="Calibri" w:cs="Tahoma"/>
      <w:i/>
      <w:iCs/>
      <w:color w:val="000000"/>
      <w:szCs w:val="24"/>
      <w:shd w:val="clear" w:color="auto" w:fill="FFFFCC"/>
      <w:lang w:eastAsia="en-US"/>
    </w:rPr>
  </w:style>
  <w:style w:type="paragraph" w:customStyle="1" w:styleId="26">
    <w:name w:val="citação 2"/>
    <w:basedOn w:val="24"/>
    <w:link w:val="27"/>
    <w:qFormat/>
    <w:uiPriority w:val="0"/>
    <w:rPr>
      <w:szCs w:val="20"/>
    </w:rPr>
  </w:style>
  <w:style w:type="character" w:customStyle="1" w:styleId="27">
    <w:name w:val="citação 2 Char"/>
    <w:basedOn w:val="25"/>
    <w:link w:val="26"/>
    <w:qFormat/>
    <w:uiPriority w:val="0"/>
    <w:rPr>
      <w:rFonts w:ascii="Ecofont_Spranq_eco_Sans" w:hAnsi="Ecofont_Spranq_eco_Sans" w:eastAsia="Calibri" w:cs="Tahoma"/>
      <w:color w:val="000000"/>
      <w:szCs w:val="24"/>
      <w:shd w:val="clear" w:color="auto" w:fill="FFFFCC"/>
      <w:lang w:eastAsia="en-US"/>
    </w:rPr>
  </w:style>
  <w:style w:type="paragraph" w:customStyle="1" w:styleId="28">
    <w:name w:val="Grade Colorida - Ênfase 11"/>
    <w:basedOn w:val="1"/>
    <w:next w:val="1"/>
    <w:link w:val="29"/>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imes New Roman"/>
      <w:i/>
      <w:iCs/>
      <w:color w:val="000000"/>
      <w:lang w:val="zh-CN" w:eastAsia="en-US"/>
    </w:rPr>
  </w:style>
  <w:style w:type="character" w:customStyle="1" w:styleId="29">
    <w:name w:val="Grade Colorida - Ênfase 1 Char"/>
    <w:link w:val="28"/>
    <w:qFormat/>
    <w:uiPriority w:val="29"/>
    <w:rPr>
      <w:rFonts w:ascii="Ecofont_Spranq_eco_Sans" w:hAnsi="Ecofont_Spranq_eco_Sans" w:eastAsia="Calibri"/>
      <w:i/>
      <w:iCs/>
      <w:color w:val="000000"/>
      <w:szCs w:val="24"/>
      <w:shd w:val="clear" w:color="auto" w:fill="FFFFCC"/>
      <w:lang w:val="zh-CN" w:eastAsia="en-US"/>
    </w:rPr>
  </w:style>
  <w:style w:type="character" w:customStyle="1" w:styleId="30">
    <w:name w:val="Cabeçalho Char"/>
    <w:basedOn w:val="13"/>
    <w:link w:val="8"/>
    <w:qFormat/>
    <w:uiPriority w:val="0"/>
    <w:rPr>
      <w:rFonts w:ascii="Ecofont_Spranq_eco_Sans" w:hAnsi="Ecofont_Spranq_eco_Sans" w:cs="Tahoma"/>
      <w:sz w:val="24"/>
      <w:szCs w:val="24"/>
    </w:rPr>
  </w:style>
  <w:style w:type="character" w:customStyle="1" w:styleId="31">
    <w:name w:val="Rodapé Char"/>
    <w:basedOn w:val="13"/>
    <w:link w:val="10"/>
    <w:qFormat/>
    <w:uiPriority w:val="99"/>
    <w:rPr>
      <w:rFonts w:ascii="Ecofont_Spranq_eco_Sans" w:hAnsi="Ecofont_Spranq_eco_Sans" w:cs="Tahoma"/>
      <w:sz w:val="24"/>
      <w:szCs w:val="24"/>
    </w:rPr>
  </w:style>
  <w:style w:type="paragraph" w:customStyle="1" w:styleId="32">
    <w:name w:val="Nivel1"/>
    <w:basedOn w:val="2"/>
    <w:next w:val="1"/>
    <w:link w:val="34"/>
    <w:qFormat/>
    <w:uiPriority w:val="0"/>
    <w:pPr>
      <w:numPr>
        <w:ilvl w:val="0"/>
        <w:numId w:val="2"/>
      </w:numPr>
      <w:spacing w:before="480" w:after="120" w:line="276" w:lineRule="auto"/>
      <w:ind w:left="357" w:hanging="357"/>
      <w:jc w:val="both"/>
    </w:pPr>
    <w:rPr>
      <w:rFonts w:ascii="Arial" w:hAnsi="Arial" w:cs="Arial"/>
      <w:b/>
      <w:color w:val="000000"/>
      <w:sz w:val="20"/>
      <w:szCs w:val="20"/>
    </w:rPr>
  </w:style>
  <w:style w:type="character" w:customStyle="1" w:styleId="33">
    <w:name w:val="Título 1 Char"/>
    <w:basedOn w:val="13"/>
    <w:link w:val="2"/>
    <w:qFormat/>
    <w:uiPriority w:val="0"/>
    <w:rPr>
      <w:rFonts w:asciiTheme="majorHAnsi" w:hAnsiTheme="majorHAnsi" w:eastAsiaTheme="majorEastAsia" w:cstheme="majorBidi"/>
      <w:color w:val="376092" w:themeColor="accent1" w:themeShade="BF"/>
      <w:sz w:val="32"/>
      <w:szCs w:val="32"/>
    </w:rPr>
  </w:style>
  <w:style w:type="character" w:customStyle="1" w:styleId="34">
    <w:name w:val="Nivel1 Char"/>
    <w:basedOn w:val="33"/>
    <w:link w:val="32"/>
    <w:qFormat/>
    <w:uiPriority w:val="0"/>
    <w:rPr>
      <w:rFonts w:ascii="Arial" w:hAnsi="Arial" w:cs="Arial" w:eastAsiaTheme="majorEastAsia"/>
      <w:b/>
      <w:color w:val="000000"/>
      <w:sz w:val="32"/>
      <w:szCs w:val="32"/>
    </w:rPr>
  </w:style>
  <w:style w:type="character" w:customStyle="1" w:styleId="35">
    <w:name w:val="Texto de comentário Char"/>
    <w:basedOn w:val="13"/>
    <w:link w:val="5"/>
    <w:qFormat/>
    <w:uiPriority w:val="0"/>
    <w:rPr>
      <w:rFonts w:ascii="Arial" w:hAnsi="Arial" w:cs="Tahoma"/>
      <w:sz w:val="24"/>
      <w:szCs w:val="24"/>
    </w:rPr>
  </w:style>
  <w:style w:type="character" w:customStyle="1" w:styleId="36">
    <w:name w:val="Assunto do comentário Char"/>
    <w:basedOn w:val="35"/>
    <w:link w:val="9"/>
    <w:semiHidden/>
    <w:qFormat/>
    <w:uiPriority w:val="0"/>
    <w:rPr>
      <w:rFonts w:ascii="Arial" w:hAnsi="Arial" w:cs="Tahoma"/>
      <w:b/>
      <w:bCs/>
      <w:sz w:val="24"/>
      <w:szCs w:val="24"/>
    </w:rPr>
  </w:style>
  <w:style w:type="character" w:customStyle="1" w:styleId="37">
    <w:name w:val="Título 3 Char"/>
    <w:basedOn w:val="13"/>
    <w:link w:val="4"/>
    <w:semiHidden/>
    <w:qFormat/>
    <w:uiPriority w:val="0"/>
    <w:rPr>
      <w:rFonts w:asciiTheme="majorHAnsi" w:hAnsiTheme="majorHAnsi" w:eastAsiaTheme="majorEastAsia" w:cstheme="majorBidi"/>
      <w:color w:val="254061" w:themeColor="accent1" w:themeShade="80"/>
      <w:sz w:val="24"/>
      <w:szCs w:val="24"/>
    </w:rPr>
  </w:style>
  <w:style w:type="character" w:customStyle="1" w:styleId="38">
    <w:name w:val="Endereço HTML Char"/>
    <w:basedOn w:val="13"/>
    <w:link w:val="11"/>
    <w:semiHidden/>
    <w:qFormat/>
    <w:uiPriority w:val="99"/>
    <w:rPr>
      <w:i/>
      <w:iCs/>
      <w:sz w:val="24"/>
      <w:szCs w:val="24"/>
    </w:rPr>
  </w:style>
  <w:style w:type="character" w:customStyle="1" w:styleId="39">
    <w:name w:val="contact-street"/>
    <w:basedOn w:val="13"/>
    <w:qFormat/>
    <w:uiPriority w:val="0"/>
  </w:style>
  <w:style w:type="character" w:customStyle="1" w:styleId="40">
    <w:name w:val="contact-suburb"/>
    <w:basedOn w:val="13"/>
    <w:qFormat/>
    <w:uiPriority w:val="0"/>
  </w:style>
  <w:style w:type="character" w:customStyle="1" w:styleId="41">
    <w:name w:val="contact-state"/>
    <w:basedOn w:val="13"/>
    <w:qFormat/>
    <w:uiPriority w:val="0"/>
  </w:style>
  <w:style w:type="character" w:customStyle="1" w:styleId="42">
    <w:name w:val="contact-postcode"/>
    <w:basedOn w:val="13"/>
    <w:qFormat/>
    <w:uiPriority w:val="0"/>
  </w:style>
  <w:style w:type="character" w:customStyle="1" w:styleId="43">
    <w:name w:val="contact-country"/>
    <w:basedOn w:val="13"/>
    <w:qFormat/>
    <w:uiPriority w:val="0"/>
  </w:style>
  <w:style w:type="character" w:customStyle="1" w:styleId="44">
    <w:name w:val="contact-emailto"/>
    <w:basedOn w:val="13"/>
    <w:qFormat/>
    <w:uiPriority w:val="0"/>
  </w:style>
  <w:style w:type="character" w:customStyle="1" w:styleId="45">
    <w:name w:val="contact-telephon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 ONs\Modelos fechados\TR 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mpd="thickThin">
          <a:solidFill>
            <a:schemeClr val="tx1"/>
          </a:solidFill>
          <a:prstDash val="solid"/>
          <a:bevel/>
        </a:ln>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2EFB3-5010-47CC-87AC-43BABBAA35DD}">
  <ds:schemaRefs/>
</ds:datastoreItem>
</file>

<file path=docProps/app.xml><?xml version="1.0" encoding="utf-8"?>
<Properties xmlns="http://schemas.openxmlformats.org/officeDocument/2006/extended-properties" xmlns:vt="http://schemas.openxmlformats.org/officeDocument/2006/docPropsVTypes">
  <Template>TR compras</Template>
  <Company>EDUARDO DOTTI</Company>
  <Pages>6</Pages>
  <Words>1604</Words>
  <Characters>8953</Characters>
  <Lines>74</Lines>
  <Paragraphs>21</Paragraphs>
  <ScaleCrop>false</ScaleCrop>
  <LinksUpToDate>false</LinksUpToDate>
  <CharactersWithSpaces>10536</CharactersWithSpaces>
  <Application>WPS Office_10.2.0.5845_F1E327BC-269C-435d-A152-05C5408002CA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2018-01-29T13:55:00Z</dcterms:created>
  <dc:creator>Adriano</dc:creator>
  <cp:lastModifiedBy>debora.medeiros</cp:lastModifiedBy>
  <cp:lastPrinted>2017-11-01T12:01:00Z</cp:lastPrinted>
  <dcterms:modified xsi:type="dcterms:W3CDTF">2018-01-31T13:42:36Z</dcterms:modified>
  <dc:title>NOTAS EXPLICATIVAS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1046-10.2.0.5845</vt:lpwstr>
  </property>
</Properties>
</file>