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C2474C">
        <w:rPr>
          <w:rFonts w:ascii="Times New Roman" w:hAnsi="Times New Roman" w:cs="Arial"/>
          <w:b/>
          <w:sz w:val="24"/>
          <w:szCs w:val="24"/>
        </w:rPr>
        <w:t>: 06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C2474C" w:rsidRPr="00C2474C">
        <w:rPr>
          <w:rFonts w:ascii="Times New Roman" w:hAnsi="Times New Roman" w:cs="Arial"/>
          <w:b/>
          <w:sz w:val="24"/>
          <w:szCs w:val="24"/>
        </w:rPr>
        <w:t>HIGICLEAN LIMPEZA E CONSERVACAO EIRELI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DC5803" w:rsidRDefault="00DC5803" w:rsidP="00DC5803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 xml:space="preserve">Solicitamos que seja zerado a porcentagem referente às alíneas B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 xml:space="preserve"> do item 3, haja vista que na base de cálculo para os avisos prévios trabalhados e indenizados já consta o valor referente ao FGTS.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De igual forma, os percentuais referentes às alíneas A e B do item 6 (Custos Indiretos e Lucro respectivamente) também podem ser submetidos à negociação sem comprometimento da exequibilidade. Sugerimos o percentual de 2,5% para ambas as alíneas.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0F1D5E">
        <w:rPr>
          <w:rFonts w:ascii="Times New Roman" w:hAnsi="Times New Roman" w:cs="Arial"/>
          <w:color w:val="000000"/>
          <w:sz w:val="23"/>
          <w:szCs w:val="23"/>
          <w:u w:val="single"/>
        </w:rPr>
        <w:t>PLANILHA EQUIPAMENTOS</w:t>
      </w: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0F1D5E" w:rsidRDefault="00BF373A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Caso o licitante opte por fornecer equipamentos, como foi o caso, deve fazê-lo sem encargos para a Administração, uma vez que esta não os solicitou. Portanto, o valor de R$ 9,73 deve ser extirpado da Planilha de Custos.</w:t>
      </w:r>
    </w:p>
    <w:p w:rsidR="00761F71" w:rsidRDefault="00761F71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761F71" w:rsidRPr="000F1D5E" w:rsidRDefault="00761F71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761F71" w:rsidRDefault="00761F71" w:rsidP="00761F7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>Por fim, a licitante seria responsável pela área total discriminada a um custo mensal de R$ 39.611,48 por meio da contratação de 13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bookmarkStart w:id="0" w:name="_GoBack"/>
      <w:bookmarkEnd w:id="0"/>
    </w:p>
    <w:p w:rsidR="000F1D5E" w:rsidRPr="004D3C91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4132BA"/>
    <w:rsid w:val="0043697B"/>
    <w:rsid w:val="004D3C91"/>
    <w:rsid w:val="00616360"/>
    <w:rsid w:val="00663C76"/>
    <w:rsid w:val="006F2DBB"/>
    <w:rsid w:val="00761F71"/>
    <w:rsid w:val="00A76CAC"/>
    <w:rsid w:val="00AC4EB7"/>
    <w:rsid w:val="00B1652D"/>
    <w:rsid w:val="00BC0036"/>
    <w:rsid w:val="00BF373A"/>
    <w:rsid w:val="00C2474C"/>
    <w:rsid w:val="00D24623"/>
    <w:rsid w:val="00D327BA"/>
    <w:rsid w:val="00DC5803"/>
    <w:rsid w:val="00DF4C9F"/>
    <w:rsid w:val="00E80596"/>
    <w:rsid w:val="00E810DD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A874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Fabiano Ferraz Araujo e Araujo</cp:lastModifiedBy>
  <cp:revision>8</cp:revision>
  <cp:lastPrinted>2021-01-08T20:05:00Z</cp:lastPrinted>
  <dcterms:created xsi:type="dcterms:W3CDTF">2021-01-08T19:52:00Z</dcterms:created>
  <dcterms:modified xsi:type="dcterms:W3CDTF">2021-03-15T15:27:00Z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