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 w:line="254" w:lineRule="auto"/>
        <w:ind w:left="1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TÍTULO CENTRALIZADO E EM CAIXA ALTA, FONTE TIMES NEW ROMAN, 12</w:t>
      </w:r>
    </w:p>
    <w:p w:rsidR="00000000" w:rsidDel="00000000" w:rsidP="00000000" w:rsidRDefault="00000000" w:rsidRPr="00000000" w14:paraId="00000002">
      <w:pPr>
        <w:spacing w:after="5" w:line="254" w:lineRule="auto"/>
        <w:ind w:left="1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Nome Completo </w:t>
      </w:r>
    </w:p>
    <w:p w:rsidR="00000000" w:rsidDel="00000000" w:rsidP="00000000" w:rsidRDefault="00000000" w:rsidRPr="00000000" w14:paraId="00000004">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Titulação e Instituição de Vinculação</w:t>
      </w:r>
    </w:p>
    <w:p w:rsidR="00000000" w:rsidDel="00000000" w:rsidP="00000000" w:rsidRDefault="00000000" w:rsidRPr="00000000" w14:paraId="00000005">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E-mail: </w:t>
      </w:r>
    </w:p>
    <w:p w:rsidR="00000000" w:rsidDel="00000000" w:rsidP="00000000" w:rsidRDefault="00000000" w:rsidRPr="00000000" w14:paraId="00000006">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Nome Completo </w:t>
      </w:r>
    </w:p>
    <w:p w:rsidR="00000000" w:rsidDel="00000000" w:rsidP="00000000" w:rsidRDefault="00000000" w:rsidRPr="00000000" w14:paraId="00000008">
      <w:pPr>
        <w:spacing w:after="5" w:line="254" w:lineRule="auto"/>
        <w:ind w:left="1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Titulação e Instituição de Vinculação</w:t>
      </w:r>
    </w:p>
    <w:p w:rsidR="00000000" w:rsidDel="00000000" w:rsidP="00000000" w:rsidRDefault="00000000" w:rsidRPr="00000000" w14:paraId="00000009">
      <w:pPr>
        <w:spacing w:after="5" w:line="254" w:lineRule="auto"/>
        <w:ind w:left="10" w:firstLine="0"/>
        <w:jc w:val="right"/>
        <w:rPr>
          <w:rFonts w:ascii="Times New Roman" w:cs="Times New Roman" w:eastAsia="Times New Roman" w:hAnsi="Times New Roman"/>
          <w:sz w:val="24"/>
          <w:szCs w:val="24"/>
          <w:highlight w:val="white"/>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highlight w:val="white"/>
          <w:rtl w:val="0"/>
        </w:rPr>
        <w:t xml:space="preserve">E-mail: </w:t>
      </w:r>
    </w:p>
    <w:p w:rsidR="00000000" w:rsidDel="00000000" w:rsidP="00000000" w:rsidRDefault="00000000" w:rsidRPr="00000000" w14:paraId="0000000A">
      <w:pPr>
        <w:widowControl w:val="0"/>
        <w:spacing w:before="120" w:line="24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 Deve-se usar o verbo na voz ativa e na terceira pessoa do singular, com limite de 150 e máximo de 250 palavras. No resumo deverá conter uma pequena introdução (uma ou duas frases), objetivo bem claro, material e métodos bem concisos, resultados e discussões breves e conclusão sem repetir os resultados.</w:t>
      </w:r>
    </w:p>
    <w:p w:rsidR="00000000" w:rsidDel="00000000" w:rsidP="00000000" w:rsidRDefault="00000000" w:rsidRPr="00000000" w14:paraId="0000000B">
      <w:pPr>
        <w:widowControl w:val="0"/>
        <w:spacing w:before="120" w:line="240" w:lineRule="auto"/>
        <w:ind w:right="40" w:hanging="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Até cinco palavras chave, necessárias ao sistema de busca e indexação. Não repetir palavras que estejam no título.</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explanação clara do problema, da justificativa, da relevância e dos objetivos propostos no trabalho. Não tem limite de palavras, mas não deverá ser muito longa a ponto de reduzir o espaço do item material e métodos e resultados e discussão, prejudicando o entendimento.</w:t>
      </w:r>
    </w:p>
    <w:p w:rsidR="00000000" w:rsidDel="00000000" w:rsidP="00000000" w:rsidRDefault="00000000" w:rsidRPr="00000000" w14:paraId="0000000F">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dentro do texto deverão ser assim: (ALMEIDA, 2010) para um único autor; (MENDES; SILVA, 2005) para dois autores; (CORREIA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para mais de dois autores. Também pode usar: Almeida (2010) para um único autor; Novais e Menezes (2000) para dois autores; Villares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(1998) para mais de três autores. Somente essas formas poderão ser usadas. Todas as referências citadas no texto deverão ser citadas no item REFERÊNCIAS. O último parágrafo do item introdução deverá trazer os objetivos, de forma clara e sucinta. Sempre antes de iniciar um novo item (título novo), reservar uma linha em branco, como segue.</w:t>
      </w:r>
    </w:p>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E MÉTODOS</w:t>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Dependendo da natureza do trabalho, uma caracterização da área experimental deve ser inserida, tornando claras as condições em que a pesquisa foi realizada. Quando os métodos forem os consagradamente utilizados, apenas a referência bibliográfica bastará; caso contrário, será necessário apresentar a descrição dos procedimentos utilizados, adaptações promovidas, etc.</w:t>
      </w:r>
    </w:p>
    <w:p w:rsidR="00000000" w:rsidDel="00000000" w:rsidP="00000000" w:rsidRDefault="00000000" w:rsidRPr="00000000" w14:paraId="00000014">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Unidades de medidas e símbolos devem seguir o Sistema Internacional (SI).</w:t>
      </w:r>
    </w:p>
    <w:p w:rsidR="00000000" w:rsidDel="00000000" w:rsidP="00000000" w:rsidRDefault="00000000" w:rsidRPr="00000000" w14:paraId="00000015">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trabalhos que envolvam seres humanos, o autor deverá inserir o número da autorização de um Comitê de Ética em Pesquisa – CEP, devidamente autorizado pela Comissão Nacional de Ética em Pesquisa – CONEP; nos casos de animais, o autor deverá mencionar que o estudo foi autorizado por uma Comissão de Ética no Uso de Animais – CEUA, devidamente cadastrada no Cadastro das Instituições de uso Científico de Animais; Eventualmente o item MATERIAL E MÉTODOS podem ser subdivididos. Neste caso, siga o exemplo:</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Tratamento e amostragem</w:t>
      </w:r>
    </w:p>
    <w:p w:rsidR="00000000" w:rsidDel="00000000" w:rsidP="00000000" w:rsidRDefault="00000000" w:rsidRPr="00000000" w14:paraId="0000001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subdivisões deverão ser em negrito fonte Times New Roman, tamanho da fonte 12 e separadas do texto por espaçamento duplo.</w:t>
      </w:r>
    </w:p>
    <w:p w:rsidR="00000000" w:rsidDel="00000000" w:rsidP="00000000" w:rsidRDefault="00000000" w:rsidRPr="00000000" w14:paraId="0000001A">
      <w:pPr>
        <w:widowControl w:val="0"/>
        <w:spacing w:before="120" w:line="240" w:lineRule="auto"/>
        <w:ind w:right="38"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Figuras e tabelas devem ser inseridas dentro do texto ou no final do trabalho. Quando a largura da coluna permitir, usar preferencialmente dentro do texto. O que não deve ser feito é deixar, por exemplo, a figura 1 no final do resumo e inserir a figura 2 no texto, nesse caso a segunda figura viria antes da primeira, o que é não é recomendado. Nas tabelas e figuras, usar o mesmo tamanho de letra que no texto, com exceção para o rodapé da figura, que deverá ter fonte tamanho 11.</w:t>
      </w:r>
    </w:p>
    <w:p w:rsidR="00000000" w:rsidDel="00000000" w:rsidP="00000000" w:rsidRDefault="00000000" w:rsidRPr="00000000" w14:paraId="0000001B">
      <w:pPr>
        <w:widowControl w:val="0"/>
        <w:spacing w:before="120" w:line="240" w:lineRule="auto"/>
        <w:ind w:right="3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estatística</w:t>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right="38" w:firstLine="1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Explicitar os procedimentos estatísticos utilizados, descrevendo o modelo estatístico e o tratamento das médias. Os dados foram submetidos à análise de variância (ANOVA) conforme o delineamento descrito no item material e métodos. As médias foram comparadas por meio do teste de “Tukey (P&lt;0,05)” ou outro qualquer. Tratamentos quantitativos deverão obedecer a procedimentos adequados para tal situação (regressão, por exemplo). Em outras situações podem- se apresentar os erros ou desvio padrão da média.</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clara, concisa, objetiva e em sequência lógica, utilizando ilustrações quando necessário, que compreende tabela (elementos demonstrativos como números, medidas, porcentagens, etc.), quadro (elementos demonstrativos com informações textuais),</w:t>
        <w:tab/>
        <w:t xml:space="preserve">gráficos</w:t>
        <w:tab/>
        <w:t xml:space="preserve">(demonstração esquemática de um fato e suas variações), figura (demonstração esquemática de informações por meio de mapas, diagramas, fluxogramas, como também por meio de desenhos ou fotografias).</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 Toda tabela e/ou figura que já tenha sido publicada deve conter, abaixo da legenda, informação sobre a fonte (autor, autorização de uso, data) e a correspondente referência deve estar devidamente contida nas referências do trabalho.</w:t>
      </w:r>
    </w:p>
    <w:p w:rsidR="00000000" w:rsidDel="00000000" w:rsidP="00000000" w:rsidRDefault="00000000" w:rsidRPr="00000000" w14:paraId="00000026">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possibilidade é separar esses itens, ou seja, apresentar primeiro os RESULTADOS e depois a DISCUSSÃO.</w:t>
      </w:r>
    </w:p>
    <w:p w:rsidR="00000000" w:rsidDel="00000000" w:rsidP="00000000" w:rsidRDefault="00000000" w:rsidRPr="00000000" w14:paraId="00000027">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discutir somente os resultados obtidos no trabalho. Deve-se confrontar com informações da literatura sobre o tema ressaltando-se aspectos novos e/ou fundamentais, as limitações do estudo e a indicação de novas pesquisas.</w:t>
      </w:r>
    </w:p>
    <w:p w:rsidR="00000000" w:rsidDel="00000000" w:rsidP="00000000" w:rsidRDefault="00000000" w:rsidRPr="00000000" w14:paraId="00000028">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CONCLUSÕES</w:t>
      </w:r>
    </w:p>
    <w:p w:rsidR="00000000" w:rsidDel="00000000" w:rsidP="00000000" w:rsidRDefault="00000000" w:rsidRPr="00000000" w14:paraId="0000002A">
      <w:pPr>
        <w:spacing w:after="5" w:line="254" w:lineRule="auto"/>
        <w:ind w:left="10" w:firstLine="0"/>
        <w:jc w:val="both"/>
        <w:rPr/>
      </w:pPr>
      <w:r w:rsidDel="00000000" w:rsidR="00000000" w:rsidRPr="00000000">
        <w:rPr>
          <w:rtl w:val="0"/>
        </w:rPr>
      </w:r>
    </w:p>
    <w:p w:rsidR="00000000" w:rsidDel="00000000" w:rsidP="00000000" w:rsidRDefault="00000000" w:rsidRPr="00000000" w14:paraId="0000002B">
      <w:pPr>
        <w:widowControl w:val="0"/>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Devem apoiar-se nos resultados da pesquisa executada e não simplesmente repeti-los. Usar o termo verbal na forma do presente do indicativo.</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1"/>
        <w:spacing w:after="1" w:before="0" w:line="259" w:lineRule="auto"/>
        <w:ind w:firstLine="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E">
      <w:pPr>
        <w:widowControl w:val="0"/>
        <w:spacing w:before="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Incluir somente aquelas mencionadas no texto e em tabelas, gráficos ou ilustrações, aparecendo  em ordem alfabética. Evitar citações de resumos, trabalhos não publicados e comunicação pessoal. Devem ser recentes, com pelo menos 70% dos últimos 5 anos e que tenham valor técnico científico.</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EL NIÑO and La Niña.</w:t>
      </w:r>
      <w:r w:rsidDel="00000000" w:rsidR="00000000" w:rsidRPr="00000000">
        <w:rPr>
          <w:rFonts w:ascii="Times New Roman" w:cs="Times New Roman" w:eastAsia="Times New Roman" w:hAnsi="Times New Roman"/>
          <w:sz w:val="24"/>
          <w:szCs w:val="24"/>
          <w:rtl w:val="0"/>
        </w:rPr>
        <w:t xml:space="preserve"> Disponível em:</w:t>
      </w:r>
    </w:p>
    <w:p w:rsidR="00000000" w:rsidDel="00000000" w:rsidP="00000000" w:rsidRDefault="00000000" w:rsidRPr="00000000" w14:paraId="00000031">
      <w:pPr>
        <w:widowControl w:val="0"/>
        <w:spacing w:line="240" w:lineRule="auto"/>
        <w:ind w:right="313"/>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ht</w:t>
        </w:r>
      </w:hyperlink>
      <w:r w:rsidDel="00000000" w:rsidR="00000000" w:rsidRPr="00000000">
        <w:rPr>
          <w:rFonts w:ascii="Times New Roman" w:cs="Times New Roman" w:eastAsia="Times New Roman" w:hAnsi="Times New Roman"/>
          <w:sz w:val="24"/>
          <w:szCs w:val="24"/>
          <w:rtl w:val="0"/>
        </w:rPr>
        <w:t xml:space="preserve">t</w:t>
      </w:r>
      <w:hyperlink r:id="rId8">
        <w:r w:rsidDel="00000000" w:rsidR="00000000" w:rsidRPr="00000000">
          <w:rPr>
            <w:rFonts w:ascii="Times New Roman" w:cs="Times New Roman" w:eastAsia="Times New Roman" w:hAnsi="Times New Roman"/>
            <w:sz w:val="24"/>
            <w:szCs w:val="24"/>
            <w:rtl w:val="0"/>
          </w:rPr>
          <w:t xml:space="preserve">p://www.stormfax.com/elnino.htm</w:t>
        </w:r>
      </w:hyperlink>
      <w:r w:rsidDel="00000000" w:rsidR="00000000" w:rsidRPr="00000000">
        <w:rPr>
          <w:rFonts w:ascii="Times New Roman" w:cs="Times New Roman" w:eastAsia="Times New Roman" w:hAnsi="Times New Roman"/>
          <w:sz w:val="24"/>
          <w:szCs w:val="24"/>
          <w:rtl w:val="0"/>
        </w:rPr>
        <w:t xml:space="preserve">. Acesso em 15 out. 2000.</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J.A. e MEURER, E.J. Inibição</w:t>
      </w:r>
    </w:p>
    <w:p w:rsidR="00000000" w:rsidDel="00000000" w:rsidP="00000000" w:rsidRDefault="00000000" w:rsidRPr="00000000" w14:paraId="00000034">
      <w:pPr>
        <w:widowControl w:val="0"/>
        <w:spacing w:line="240" w:lineRule="auto"/>
        <w:ind w:right="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absorção de magnésio pelo potássio em plântulas de milho em solução nutritiva. </w:t>
      </w:r>
      <w:r w:rsidDel="00000000" w:rsidR="00000000" w:rsidRPr="00000000">
        <w:rPr>
          <w:rFonts w:ascii="Times New Roman" w:cs="Times New Roman" w:eastAsia="Times New Roman" w:hAnsi="Times New Roman"/>
          <w:i w:val="1"/>
          <w:sz w:val="24"/>
          <w:szCs w:val="24"/>
          <w:rtl w:val="0"/>
        </w:rPr>
        <w:t xml:space="preserve">Revista Brasileira de Ciência do Solo. </w:t>
      </w:r>
      <w:r w:rsidDel="00000000" w:rsidR="00000000" w:rsidRPr="00000000">
        <w:rPr>
          <w:rFonts w:ascii="Times New Roman" w:cs="Times New Roman" w:eastAsia="Times New Roman" w:hAnsi="Times New Roman"/>
          <w:sz w:val="24"/>
          <w:szCs w:val="24"/>
          <w:rtl w:val="0"/>
        </w:rPr>
        <w:t xml:space="preserve">Viçosa, v.21, n.1, p.47-50, 1997.</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M.L. Chemical Composition of Soil. In: BEAR, F.E.,</w:t>
      </w:r>
      <w:r w:rsidDel="00000000" w:rsidR="00000000" w:rsidRPr="00000000">
        <w:rPr>
          <w:rFonts w:ascii="Times New Roman" w:cs="Times New Roman" w:eastAsia="Times New Roman" w:hAnsi="Times New Roman"/>
          <w:i w:val="1"/>
          <w:sz w:val="24"/>
          <w:szCs w:val="24"/>
          <w:rtl w:val="0"/>
        </w:rPr>
        <w:t xml:space="preserve"> Chemistry of the soil</w:t>
      </w:r>
      <w:r w:rsidDel="00000000" w:rsidR="00000000" w:rsidRPr="00000000">
        <w:rPr>
          <w:rFonts w:ascii="Times New Roman" w:cs="Times New Roman" w:eastAsia="Times New Roman" w:hAnsi="Times New Roman"/>
          <w:sz w:val="24"/>
          <w:szCs w:val="24"/>
          <w:rtl w:val="0"/>
        </w:rPr>
        <w:t xml:space="preserve">. 2ªed.  p. 71-141. New York, Reinhold, 1964.</w:t>
      </w:r>
    </w:p>
    <w:p w:rsidR="00000000" w:rsidDel="00000000" w:rsidP="00000000" w:rsidRDefault="00000000" w:rsidRPr="00000000" w14:paraId="00000037">
      <w:pPr>
        <w:widowControl w:val="0"/>
        <w:spacing w:line="240" w:lineRule="auto"/>
        <w:ind w:right="3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KONHNKE, H. </w:t>
      </w:r>
      <w:r w:rsidDel="00000000" w:rsidR="00000000" w:rsidRPr="00000000">
        <w:rPr>
          <w:rFonts w:ascii="Times New Roman" w:cs="Times New Roman" w:eastAsia="Times New Roman" w:hAnsi="Times New Roman"/>
          <w:i w:val="1"/>
          <w:sz w:val="24"/>
          <w:szCs w:val="24"/>
          <w:rtl w:val="0"/>
        </w:rPr>
        <w:t xml:space="preserve">Soil physics.</w:t>
      </w:r>
      <w:r w:rsidDel="00000000" w:rsidR="00000000" w:rsidRPr="00000000">
        <w:rPr>
          <w:rFonts w:ascii="Times New Roman" w:cs="Times New Roman" w:eastAsia="Times New Roman" w:hAnsi="Times New Roman"/>
          <w:sz w:val="24"/>
          <w:szCs w:val="24"/>
          <w:rtl w:val="0"/>
        </w:rPr>
        <w:t xml:space="preserve"> 2ª ed. New York, MacGraw Hill, p. 224, 1969.</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M.L.N.; FREITAS, P.L.; BLANCANEAUX, P. e CURI, N. Índice de erosividade de chuva da região de Goiânia, GO.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XIII Congresso Latino Americano de Ciência de Solo.</w:t>
      </w:r>
      <w:r w:rsidDel="00000000" w:rsidR="00000000" w:rsidRPr="00000000">
        <w:rPr>
          <w:rFonts w:ascii="Times New Roman" w:cs="Times New Roman" w:eastAsia="Times New Roman" w:hAnsi="Times New Roman"/>
          <w:sz w:val="24"/>
          <w:szCs w:val="24"/>
          <w:rtl w:val="0"/>
        </w:rPr>
        <w:t xml:space="preserve"> Águas de Lindóia, SP. 13. ago. 1996.</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referências devem respeitar as normas da ABNT vigente, tamanho da fonte 11, com espaçamento simples entre as referências. Devem estar em ordem alfabética, conforme os exemplos acima.</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hanging="10"/>
        <w:jc w:val="both"/>
        <w:rPr>
          <w:rFonts w:ascii="Times New Roman" w:cs="Times New Roman" w:eastAsia="Times New Roman" w:hAnsi="Times New Roman"/>
          <w:sz w:val="24"/>
          <w:szCs w:val="24"/>
        </w:rPr>
        <w:sectPr>
          <w:type w:val="continuous"/>
          <w:pgSz w:h="16834" w:w="11909" w:orient="portrait"/>
          <w:pgMar w:bottom="280" w:top="709" w:left="1240" w:right="600" w:header="720" w:footer="720"/>
          <w:cols w:equalWidth="0" w:num="2">
            <w:col w:space="998" w:w="4535.500000000001"/>
            <w:col w:space="0" w:w="4535.500000000001"/>
          </w:cols>
        </w:sectPr>
      </w:pPr>
      <w:r w:rsidDel="00000000" w:rsidR="00000000" w:rsidRPr="00000000">
        <w:rPr>
          <w:rFonts w:ascii="Times New Roman" w:cs="Times New Roman" w:eastAsia="Times New Roman" w:hAnsi="Times New Roman"/>
          <w:sz w:val="24"/>
          <w:szCs w:val="24"/>
          <w:rtl w:val="0"/>
        </w:rPr>
        <w:t xml:space="preserve">OBS: Se preferir pode inserir quebra de página ou quebra de coluna após as referências.</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sectPr>
          <w:type w:val="nextPage"/>
          <w:pgSz w:h="16834" w:w="11909" w:orient="portrait"/>
          <w:pgMar w:bottom="280" w:top="709" w:left="1240" w:right="600" w:header="720" w:footer="0"/>
          <w:cols w:equalWidth="0" w:num="2">
            <w:col w:space="998" w:w="4535.500000000001"/>
            <w:col w:space="0" w:w="4535.500000000001"/>
          </w:cols>
        </w:sectPr>
      </w:pPr>
      <w:r w:rsidDel="00000000" w:rsidR="00000000" w:rsidRPr="00000000">
        <w:rPr>
          <w:rtl w:val="0"/>
        </w:rPr>
      </w:r>
    </w:p>
    <w:p w:rsidR="00000000" w:rsidDel="00000000" w:rsidP="00000000" w:rsidRDefault="00000000" w:rsidRPr="00000000" w14:paraId="00000040">
      <w:pPr>
        <w:pStyle w:val="Heading1"/>
        <w:spacing w:after="1" w:before="0" w:line="259" w:lineRule="auto"/>
        <w:ind w:left="363" w:firstLine="32.0000000000000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w:t>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0"/>
        <w:numPr>
          <w:ilvl w:val="0"/>
          <w:numId w:val="1"/>
        </w:numPr>
        <w:tabs>
          <w:tab w:val="left" w:pos="886"/>
          <w:tab w:val="left" w:pos="887"/>
        </w:tabs>
        <w:spacing w:line="240" w:lineRule="auto"/>
        <w:ind w:left="886" w:right="117" w:hanging="34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Será considerado como Quadro, os dados apresentados em estrutura fechada, obtidos em outros trabalhos científicos</w:t>
      </w:r>
      <w:r w:rsidDel="00000000" w:rsidR="00000000" w:rsidRPr="00000000">
        <w:rPr>
          <w:rtl w:val="0"/>
        </w:rPr>
      </w:r>
    </w:p>
    <w:p w:rsidR="00000000" w:rsidDel="00000000" w:rsidP="00000000" w:rsidRDefault="00000000" w:rsidRPr="00000000" w14:paraId="00000043">
      <w:pPr>
        <w:widowControl w:val="0"/>
        <w:numPr>
          <w:ilvl w:val="0"/>
          <w:numId w:val="1"/>
        </w:numPr>
        <w:tabs>
          <w:tab w:val="left" w:pos="886"/>
          <w:tab w:val="left" w:pos="887"/>
        </w:tabs>
        <w:spacing w:line="240" w:lineRule="auto"/>
        <w:ind w:left="886" w:right="116" w:hanging="34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enunciados das tabelas ou figuras, bem como o interior das mesmas deverão ser no tamanho de letra 10. O rodapé das tabelas deverá ser fonte tamanho 8.</w:t>
      </w:r>
      <w:r w:rsidDel="00000000" w:rsidR="00000000" w:rsidRPr="00000000">
        <w:rPr>
          <w:rtl w:val="0"/>
        </w:rPr>
      </w:r>
    </w:p>
    <w:p w:rsidR="00000000" w:rsidDel="00000000" w:rsidP="00000000" w:rsidRDefault="00000000" w:rsidRPr="00000000" w14:paraId="00000044">
      <w:pPr>
        <w:widowControl w:val="0"/>
        <w:numPr>
          <w:ilvl w:val="0"/>
          <w:numId w:val="1"/>
        </w:numPr>
        <w:tabs>
          <w:tab w:val="left" w:pos="886"/>
          <w:tab w:val="left" w:pos="887"/>
        </w:tabs>
        <w:spacing w:line="240" w:lineRule="auto"/>
        <w:ind w:left="886" w:right="117" w:hanging="34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enunciado das tabelas ou figuras tem um recuo de 0,7cm à esquerda depois da primeira linha, igual ao das referências.</w:t>
      </w:r>
      <w:r w:rsidDel="00000000" w:rsidR="00000000" w:rsidRPr="00000000">
        <w:rPr>
          <w:rtl w:val="0"/>
        </w:rPr>
      </w:r>
    </w:p>
    <w:p w:rsidR="00000000" w:rsidDel="00000000" w:rsidP="00000000" w:rsidRDefault="00000000" w:rsidRPr="00000000" w14:paraId="00000045">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Nas figuras (gráficos, fotos, desenhos ou ilustrações) não usar bordas.</w:t>
      </w:r>
      <w:r w:rsidDel="00000000" w:rsidR="00000000" w:rsidRPr="00000000">
        <w:rPr>
          <w:rtl w:val="0"/>
        </w:rPr>
      </w:r>
    </w:p>
    <w:p w:rsidR="00000000" w:rsidDel="00000000" w:rsidP="00000000" w:rsidRDefault="00000000" w:rsidRPr="00000000" w14:paraId="00000046">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Em caso de utilização de fotos de crianças e/ou adolescentes deve ser respeitada a legislação brasileira vigente. Esta norma não se aplica as fotos que estão sob guarda de arquivos históricos.</w:t>
      </w:r>
      <w:r w:rsidDel="00000000" w:rsidR="00000000" w:rsidRPr="00000000">
        <w:rPr>
          <w:rtl w:val="0"/>
        </w:rPr>
      </w:r>
    </w:p>
    <w:p w:rsidR="00000000" w:rsidDel="00000000" w:rsidP="00000000" w:rsidRDefault="00000000" w:rsidRPr="00000000" w14:paraId="00000047">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trabalhos deverão ser entregues rigorosamente revisados, conforme as normas gramaticais vigentes.</w:t>
      </w:r>
      <w:r w:rsidDel="00000000" w:rsidR="00000000" w:rsidRPr="00000000">
        <w:rPr>
          <w:rtl w:val="0"/>
        </w:rPr>
      </w:r>
    </w:p>
    <w:p w:rsidR="00000000" w:rsidDel="00000000" w:rsidP="00000000" w:rsidRDefault="00000000" w:rsidRPr="00000000" w14:paraId="00000048">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trabalhos devem seguir os critérios da Associação Brasileira de Normas Técnicas (ABNT) durante a edição.</w:t>
      </w:r>
      <w:r w:rsidDel="00000000" w:rsidR="00000000" w:rsidRPr="00000000">
        <w:rPr>
          <w:rtl w:val="0"/>
        </w:rPr>
      </w:r>
    </w:p>
    <w:p w:rsidR="00000000" w:rsidDel="00000000" w:rsidP="00000000" w:rsidRDefault="00000000" w:rsidRPr="00000000" w14:paraId="00000049">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artigos publicados pela revista são de uso gratuito, destinados a aplicações educacionais e não comerciais. Os artigos aceitos para a publicação se tornam propriedade da revista.</w:t>
      </w:r>
      <w:r w:rsidDel="00000000" w:rsidR="00000000" w:rsidRPr="00000000">
        <w:rPr>
          <w:rtl w:val="0"/>
        </w:rPr>
      </w:r>
    </w:p>
    <w:p w:rsidR="00000000" w:rsidDel="00000000" w:rsidP="00000000" w:rsidRDefault="00000000" w:rsidRPr="00000000" w14:paraId="0000004A">
      <w:pPr>
        <w:widowControl w:val="0"/>
        <w:numPr>
          <w:ilvl w:val="0"/>
          <w:numId w:val="1"/>
        </w:numPr>
        <w:tabs>
          <w:tab w:val="left" w:pos="886"/>
          <w:tab w:val="left" w:pos="887"/>
        </w:tabs>
        <w:spacing w:line="240" w:lineRule="auto"/>
        <w:ind w:left="886" w:hanging="34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artigos enviados que forem resultados de pesquisas financiadas por agências de fomento devem informar a agência em nota de rodapé e em campo apropriado no momento da submissão.</w:t>
      </w:r>
      <w:r w:rsidDel="00000000" w:rsidR="00000000" w:rsidRPr="00000000">
        <w:rPr>
          <w:rtl w:val="0"/>
        </w:rPr>
      </w:r>
    </w:p>
    <w:p w:rsidR="00000000" w:rsidDel="00000000" w:rsidP="00000000" w:rsidRDefault="00000000" w:rsidRPr="00000000" w14:paraId="0000004B">
      <w:pPr>
        <w:widowControl w:val="0"/>
        <w:numPr>
          <w:ilvl w:val="0"/>
          <w:numId w:val="1"/>
        </w:numPr>
        <w:tabs>
          <w:tab w:val="left" w:pos="886"/>
          <w:tab w:val="left" w:pos="887"/>
        </w:tabs>
        <w:spacing w:line="240" w:lineRule="auto"/>
        <w:ind w:left="886" w:hanging="34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Citações e referências (bibliografia)</w:t>
      </w:r>
      <w:r w:rsidDel="00000000" w:rsidR="00000000" w:rsidRPr="00000000">
        <w:rPr>
          <w:rtl w:val="0"/>
        </w:rPr>
      </w:r>
    </w:p>
    <w:p w:rsidR="00000000" w:rsidDel="00000000" w:rsidP="00000000" w:rsidRDefault="00000000" w:rsidRPr="00000000" w14:paraId="0000004C">
      <w:pPr>
        <w:widowControl w:val="0"/>
        <w:numPr>
          <w:ilvl w:val="2"/>
          <w:numId w:val="1"/>
        </w:numPr>
        <w:tabs>
          <w:tab w:val="left" w:pos="886"/>
          <w:tab w:val="left" w:pos="887"/>
        </w:tabs>
        <w:spacing w:line="240" w:lineRule="auto"/>
        <w:ind w:left="1382" w:hanging="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Citações, conforme a NBR-10520: As citações devem ser indicadas no texto pelo sistema de chamada autor-data. Citação de até três linhas: dentro do corpo do texto, entre aspas, fonte igual à do texto. Citação de mais de três linhas: fora do corpo do texto, fonte 11, recuo de 4 cm, sem aspas (ou qualquer outro destaque), espaçamento interlinear simples, margem direita igual à do texto. Nome do autor da obra, para os dois casos acima: No corpo do texto (grafia normal para nomes próprios).</w:t>
      </w:r>
    </w:p>
    <w:p w:rsidR="00000000" w:rsidDel="00000000" w:rsidP="00000000" w:rsidRDefault="00000000" w:rsidRPr="00000000" w14:paraId="0000004D">
      <w:pPr>
        <w:widowControl w:val="0"/>
        <w:numPr>
          <w:ilvl w:val="2"/>
          <w:numId w:val="1"/>
        </w:numPr>
        <w:tabs>
          <w:tab w:val="left" w:pos="886"/>
          <w:tab w:val="left" w:pos="887"/>
        </w:tabs>
        <w:spacing w:line="240" w:lineRule="auto"/>
        <w:ind w:left="1382" w:hanging="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Segundo Araújo (2015, p. 20), “O conhecimento acadêmico [...]”; Entre parênteses, em caixa alta.</w:t>
      </w:r>
    </w:p>
    <w:p w:rsidR="00000000" w:rsidDel="00000000" w:rsidP="00000000" w:rsidRDefault="00000000" w:rsidRPr="00000000" w14:paraId="0000004E">
      <w:pPr>
        <w:widowControl w:val="0"/>
        <w:numPr>
          <w:ilvl w:val="2"/>
          <w:numId w:val="1"/>
        </w:numPr>
        <w:tabs>
          <w:tab w:val="left" w:pos="886"/>
          <w:tab w:val="left" w:pos="887"/>
        </w:tabs>
        <w:spacing w:line="240" w:lineRule="auto"/>
        <w:ind w:left="1382" w:hanging="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“O conhecimento acadêmico [...]” (ARAUJO, 2015, p.20).</w:t>
      </w:r>
    </w:p>
    <w:p w:rsidR="00000000" w:rsidDel="00000000" w:rsidP="00000000" w:rsidRDefault="00000000" w:rsidRPr="00000000" w14:paraId="0000004F">
      <w:pPr>
        <w:widowControl w:val="0"/>
        <w:numPr>
          <w:ilvl w:val="2"/>
          <w:numId w:val="1"/>
        </w:numPr>
        <w:tabs>
          <w:tab w:val="left" w:pos="886"/>
          <w:tab w:val="left" w:pos="887"/>
        </w:tabs>
        <w:spacing w:line="240" w:lineRule="auto"/>
        <w:ind w:left="1382" w:hanging="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 conforme a NBR 6023, A lista das referências deve conter somente a descrição dos documentos efetivamente citados no trabalho. As referências das fontes documentais citadas no artigo devem ser incluídas na mesma lista das referências (não fazer lista(s) separada(s)) Os nomes dos autores devem estar escritos por extenso, sem abreviaturas e o título das obras em negrito.</w:t>
      </w:r>
    </w:p>
    <w:p w:rsidR="00000000" w:rsidDel="00000000" w:rsidP="00000000" w:rsidRDefault="00000000" w:rsidRPr="00000000" w14:paraId="00000050">
      <w:pPr>
        <w:widowControl w:val="0"/>
        <w:numPr>
          <w:ilvl w:val="0"/>
          <w:numId w:val="1"/>
        </w:numPr>
        <w:tabs>
          <w:tab w:val="left" w:pos="886"/>
          <w:tab w:val="left" w:pos="887"/>
        </w:tabs>
        <w:spacing w:line="240" w:lineRule="auto"/>
        <w:ind w:left="886" w:hanging="34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Exemplos de Referências:</w:t>
      </w:r>
      <w:r w:rsidDel="00000000" w:rsidR="00000000" w:rsidRPr="00000000">
        <w:rPr>
          <w:rtl w:val="0"/>
        </w:rPr>
      </w:r>
    </w:p>
    <w:p w:rsidR="00000000" w:rsidDel="00000000" w:rsidP="00000000" w:rsidRDefault="00000000" w:rsidRPr="00000000" w14:paraId="00000051">
      <w:pPr>
        <w:widowControl w:val="0"/>
        <w:numPr>
          <w:ilvl w:val="2"/>
          <w:numId w:val="1"/>
        </w:numPr>
        <w:tabs>
          <w:tab w:val="left" w:pos="886"/>
          <w:tab w:val="left" w:pos="887"/>
        </w:tabs>
        <w:spacing w:line="240" w:lineRule="auto"/>
        <w:ind w:left="1382" w:hanging="3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Livros (obra completa)</w:t>
      </w:r>
    </w:p>
    <w:p w:rsidR="00000000" w:rsidDel="00000000" w:rsidP="00000000" w:rsidRDefault="00000000" w:rsidRPr="00000000" w14:paraId="00000052">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BAUMAN, Zygmunt. </w:t>
      </w:r>
      <w:r w:rsidDel="00000000" w:rsidR="00000000" w:rsidRPr="00000000">
        <w:rPr>
          <w:rFonts w:ascii="Times New Roman" w:cs="Times New Roman" w:eastAsia="Times New Roman" w:hAnsi="Times New Roman"/>
          <w:i w:val="1"/>
          <w:sz w:val="24"/>
          <w:szCs w:val="24"/>
          <w:rtl w:val="0"/>
        </w:rPr>
        <w:t xml:space="preserve">O mal-estar da pós-modernidade</w:t>
      </w:r>
      <w:r w:rsidDel="00000000" w:rsidR="00000000" w:rsidRPr="00000000">
        <w:rPr>
          <w:rFonts w:ascii="Times New Roman" w:cs="Times New Roman" w:eastAsia="Times New Roman" w:hAnsi="Times New Roman"/>
          <w:sz w:val="24"/>
          <w:szCs w:val="24"/>
          <w:rtl w:val="0"/>
        </w:rPr>
        <w:t xml:space="preserve">. Rio de Janeiro: Jorge Zahar Editor, 1998.</w:t>
      </w:r>
    </w:p>
    <w:p w:rsidR="00000000" w:rsidDel="00000000" w:rsidP="00000000" w:rsidRDefault="00000000" w:rsidRPr="00000000" w14:paraId="00000053">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Capítulo de livro (volume, fragmento e outras partes de obra com autor próprio)</w:t>
      </w:r>
    </w:p>
    <w:p w:rsidR="00000000" w:rsidDel="00000000" w:rsidP="00000000" w:rsidRDefault="00000000" w:rsidRPr="00000000" w14:paraId="00000054">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DARNTON, Robert. História da leitura. In: BURKE, P. (Org.). </w:t>
      </w:r>
      <w:r w:rsidDel="00000000" w:rsidR="00000000" w:rsidRPr="00000000">
        <w:rPr>
          <w:rFonts w:ascii="Times New Roman" w:cs="Times New Roman" w:eastAsia="Times New Roman" w:hAnsi="Times New Roman"/>
          <w:i w:val="1"/>
          <w:sz w:val="24"/>
          <w:szCs w:val="24"/>
          <w:rtl w:val="0"/>
        </w:rPr>
        <w:t xml:space="preserve">A escrita da história</w:t>
      </w:r>
      <w:r w:rsidDel="00000000" w:rsidR="00000000" w:rsidRPr="00000000">
        <w:rPr>
          <w:rFonts w:ascii="Times New Roman" w:cs="Times New Roman" w:eastAsia="Times New Roman" w:hAnsi="Times New Roman"/>
          <w:sz w:val="24"/>
          <w:szCs w:val="24"/>
          <w:rtl w:val="0"/>
        </w:rPr>
        <w:t xml:space="preserve">. São Paulo: Editora da Universidade Estadual Paulista, 1992, p. 199-236.</w:t>
      </w:r>
    </w:p>
    <w:p w:rsidR="00000000" w:rsidDel="00000000" w:rsidP="00000000" w:rsidRDefault="00000000" w:rsidRPr="00000000" w14:paraId="00000055">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Legislação (meio eletrônico)</w:t>
      </w:r>
    </w:p>
    <w:p w:rsidR="00000000" w:rsidDel="00000000" w:rsidP="00000000" w:rsidRDefault="00000000" w:rsidRPr="00000000" w14:paraId="00000056">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nº 9.887, de 7 de dezembro de 1999. </w:t>
      </w:r>
      <w:r w:rsidDel="00000000" w:rsidR="00000000" w:rsidRPr="00000000">
        <w:rPr>
          <w:rFonts w:ascii="Times New Roman" w:cs="Times New Roman" w:eastAsia="Times New Roman" w:hAnsi="Times New Roman"/>
          <w:i w:val="1"/>
          <w:sz w:val="24"/>
          <w:szCs w:val="24"/>
          <w:rtl w:val="0"/>
        </w:rPr>
        <w:t xml:space="preserve">Altera a legislação tributária federal.</w:t>
      </w:r>
      <w:r w:rsidDel="00000000" w:rsidR="00000000" w:rsidRPr="00000000">
        <w:rPr>
          <w:rFonts w:ascii="Times New Roman" w:cs="Times New Roman" w:eastAsia="Times New Roman" w:hAnsi="Times New Roman"/>
          <w:sz w:val="24"/>
          <w:szCs w:val="24"/>
          <w:rtl w:val="0"/>
        </w:rPr>
        <w:t xml:space="preserve"> Diário Oficial [da] República Federativa do Brasil, Brasília, DF, 8 dez. 1999. Disponível em: http://www.in.gov.br/mp_leisleis_texto.asp?Id=LEI%209887. Acesso em: 22 dez. 1999.</w:t>
      </w:r>
    </w:p>
    <w:p w:rsidR="00000000" w:rsidDel="00000000" w:rsidP="00000000" w:rsidRDefault="00000000" w:rsidRPr="00000000" w14:paraId="00000057">
      <w:pPr>
        <w:widowControl w:val="0"/>
        <w:numPr>
          <w:ilvl w:val="2"/>
          <w:numId w:val="1"/>
        </w:numPr>
        <w:tabs>
          <w:tab w:val="left" w:pos="886"/>
          <w:tab w:val="left" w:pos="887"/>
        </w:tabs>
        <w:spacing w:line="240" w:lineRule="auto"/>
        <w:ind w:left="1382" w:hanging="3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Artigos de Periódicos</w:t>
      </w:r>
    </w:p>
    <w:p w:rsidR="00000000" w:rsidDel="00000000" w:rsidP="00000000" w:rsidRDefault="00000000" w:rsidRPr="00000000" w14:paraId="00000058">
      <w:pPr>
        <w:widowControl w:val="0"/>
        <w:numPr>
          <w:ilvl w:val="3"/>
          <w:numId w:val="1"/>
        </w:numPr>
        <w:tabs>
          <w:tab w:val="left" w:pos="886"/>
          <w:tab w:val="left" w:pos="887"/>
        </w:tabs>
        <w:spacing w:line="240" w:lineRule="auto"/>
        <w:ind w:left="1884" w:hanging="347.99999999999983"/>
        <w:jc w:val="both"/>
        <w:rPr>
          <w:rFonts w:ascii="Times New Roman" w:cs="Times New Roman" w:eastAsia="Times New Roman" w:hAnsi="Times New Roman"/>
          <w:sz w:val="24"/>
          <w:szCs w:val="24"/>
        </w:rPr>
        <w:sectPr>
          <w:type w:val="continuous"/>
          <w:pgSz w:h="16834" w:w="11909" w:orient="portrait"/>
          <w:pgMar w:bottom="280" w:top="2840" w:left="1240" w:right="600" w:header="720" w:footer="0"/>
        </w:sectPr>
      </w:pPr>
      <w:r w:rsidDel="00000000" w:rsidR="00000000" w:rsidRPr="00000000">
        <w:rPr>
          <w:rFonts w:ascii="Times New Roman" w:cs="Times New Roman" w:eastAsia="Times New Roman" w:hAnsi="Times New Roman"/>
          <w:sz w:val="24"/>
          <w:szCs w:val="24"/>
          <w:rtl w:val="0"/>
        </w:rPr>
        <w:t xml:space="preserve">ESTÁCIO, Thiago Guimarães. Poluição visual e paisagem urbana no centro comercial de Aracaju.</w:t>
      </w:r>
      <w:r w:rsidDel="00000000" w:rsidR="00000000" w:rsidRPr="00000000">
        <w:rPr>
          <w:rFonts w:ascii="Times New Roman" w:cs="Times New Roman" w:eastAsia="Times New Roman" w:hAnsi="Times New Roman"/>
          <w:i w:val="1"/>
          <w:sz w:val="24"/>
          <w:szCs w:val="24"/>
          <w:rtl w:val="0"/>
        </w:rPr>
        <w:t xml:space="preserve"> Revista Expressão Científica</w:t>
      </w:r>
      <w:r w:rsidDel="00000000" w:rsidR="00000000" w:rsidRPr="00000000">
        <w:rPr>
          <w:rFonts w:ascii="Times New Roman" w:cs="Times New Roman" w:eastAsia="Times New Roman" w:hAnsi="Times New Roman"/>
          <w:sz w:val="24"/>
          <w:szCs w:val="24"/>
          <w:rtl w:val="0"/>
        </w:rPr>
        <w:t xml:space="preserve">, Aracaju, v. 1, n. 1, p.1-11, 2016.</w:t>
      </w:r>
    </w:p>
    <w:p w:rsidR="00000000" w:rsidDel="00000000" w:rsidP="00000000" w:rsidRDefault="00000000" w:rsidRPr="00000000" w14:paraId="00000059">
      <w:pPr>
        <w:rPr/>
      </w:pPr>
      <w:r w:rsidDel="00000000" w:rsidR="00000000" w:rsidRPr="00000000">
        <w:rPr>
          <w:rtl w:val="0"/>
        </w:rPr>
      </w:r>
    </w:p>
    <w:sectPr>
      <w:type w:val="nextPage"/>
      <w:pgSz w:h="16834" w:w="11909" w:orient="portrait"/>
      <w:pgMar w:bottom="1417" w:top="568"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86" w:hanging="348"/>
      </w:pPr>
      <w:rPr>
        <w:rFonts w:ascii="Arial" w:cs="Arial" w:eastAsia="Arial" w:hAnsi="Arial"/>
        <w:sz w:val="24"/>
        <w:szCs w:val="24"/>
      </w:rPr>
    </w:lvl>
    <w:lvl w:ilvl="1">
      <w:start w:val="1"/>
      <w:numFmt w:val="bullet"/>
      <w:lvlText w:val="•"/>
      <w:lvlJc w:val="left"/>
      <w:pPr>
        <w:ind w:left="880" w:hanging="348"/>
      </w:pPr>
      <w:rPr/>
    </w:lvl>
    <w:lvl w:ilvl="2">
      <w:start w:val="1"/>
      <w:numFmt w:val="bullet"/>
      <w:lvlText w:val="•"/>
      <w:lvlJc w:val="left"/>
      <w:pPr>
        <w:ind w:left="1382" w:hanging="348"/>
      </w:pPr>
      <w:rPr/>
    </w:lvl>
    <w:lvl w:ilvl="3">
      <w:start w:val="1"/>
      <w:numFmt w:val="bullet"/>
      <w:lvlText w:val="•"/>
      <w:lvlJc w:val="left"/>
      <w:pPr>
        <w:ind w:left="1884" w:hanging="347.9999999999998"/>
      </w:pPr>
      <w:rPr/>
    </w:lvl>
    <w:lvl w:ilvl="4">
      <w:start w:val="1"/>
      <w:numFmt w:val="bullet"/>
      <w:lvlText w:val="•"/>
      <w:lvlJc w:val="left"/>
      <w:pPr>
        <w:ind w:left="2386" w:hanging="348"/>
      </w:pPr>
      <w:rPr/>
    </w:lvl>
    <w:lvl w:ilvl="5">
      <w:start w:val="1"/>
      <w:numFmt w:val="bullet"/>
      <w:lvlText w:val="•"/>
      <w:lvlJc w:val="left"/>
      <w:pPr>
        <w:ind w:left="2889" w:hanging="348.00000000000045"/>
      </w:pPr>
      <w:rPr/>
    </w:lvl>
    <w:lvl w:ilvl="6">
      <w:start w:val="1"/>
      <w:numFmt w:val="bullet"/>
      <w:lvlText w:val="•"/>
      <w:lvlJc w:val="left"/>
      <w:pPr>
        <w:ind w:left="3391" w:hanging="348"/>
      </w:pPr>
      <w:rPr/>
    </w:lvl>
    <w:lvl w:ilvl="7">
      <w:start w:val="1"/>
      <w:numFmt w:val="bullet"/>
      <w:lvlText w:val="•"/>
      <w:lvlJc w:val="left"/>
      <w:pPr>
        <w:ind w:left="3893" w:hanging="348"/>
      </w:pPr>
      <w:rPr/>
    </w:lvl>
    <w:lvl w:ilvl="8">
      <w:start w:val="1"/>
      <w:numFmt w:val="bullet"/>
      <w:lvlText w:val="•"/>
      <w:lvlJc w:val="left"/>
      <w:pPr>
        <w:ind w:left="4395" w:hanging="34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ormfax.com/elnino.htm" TargetMode="External"/><Relationship Id="rId8" Type="http://schemas.openxmlformats.org/officeDocument/2006/relationships/hyperlink" Target="http://www.stormfax.com/elnin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a2AQ8HVUGTLVRwR08QzB8PJCA==">AMUW2mUBwZbIV1SWav6AND32lZ1Qz7cqaJi3Z2jaTn6NwG2/heX1zktpOFZw64ijuQfZM8tKmZZiyEoXdVPuXEtCnPMV7lJWCR4aLxAWlRow8TQhet6w7Kg=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